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440"/>
        </w:tabs>
        <w:adjustRightInd w:val="0"/>
        <w:spacing w:line="360" w:lineRule="auto"/>
        <w:jc w:val="center"/>
        <w:rPr>
          <w:rFonts w:ascii="宋体" w:hAnsi="宋体"/>
          <w:b/>
          <w:sz w:val="44"/>
          <w:szCs w:val="44"/>
        </w:rPr>
      </w:pPr>
      <w:r>
        <w:rPr>
          <w:rFonts w:hint="eastAsia" w:ascii="宋体" w:hAnsi="宋体"/>
          <w:b/>
          <w:sz w:val="44"/>
          <w:szCs w:val="44"/>
        </w:rPr>
        <w:t>说  明  书</w:t>
      </w:r>
    </w:p>
    <w:p>
      <w:pPr>
        <w:tabs>
          <w:tab w:val="left" w:pos="10440"/>
        </w:tabs>
        <w:adjustRightInd w:val="0"/>
        <w:spacing w:line="360" w:lineRule="auto"/>
        <w:jc w:val="center"/>
        <w:rPr>
          <w:rFonts w:ascii="宋体" w:hAnsi="宋体"/>
          <w:b/>
          <w:sz w:val="10"/>
          <w:szCs w:val="10"/>
        </w:rPr>
      </w:pPr>
    </w:p>
    <w:p>
      <w:pPr>
        <w:tabs>
          <w:tab w:val="left" w:pos="10440"/>
        </w:tabs>
        <w:adjustRightInd w:val="0"/>
        <w:spacing w:line="360" w:lineRule="auto"/>
        <w:jc w:val="center"/>
        <w:rPr>
          <w:rFonts w:ascii="宋体" w:hAnsi="宋体"/>
          <w:b/>
          <w:sz w:val="10"/>
          <w:szCs w:val="10"/>
        </w:rPr>
      </w:pPr>
    </w:p>
    <w:p>
      <w:pPr>
        <w:tabs>
          <w:tab w:val="left" w:pos="720"/>
          <w:tab w:val="left" w:pos="10440"/>
        </w:tabs>
        <w:adjustRightInd w:val="0"/>
        <w:spacing w:line="360" w:lineRule="auto"/>
        <w:rPr>
          <w:rFonts w:ascii="宋体" w:hAnsi="宋体"/>
          <w:b/>
          <w:spacing w:val="4"/>
          <w:kern w:val="30"/>
          <w:sz w:val="28"/>
          <w:szCs w:val="28"/>
        </w:rPr>
        <w:sectPr>
          <w:headerReference r:id="rId3" w:type="default"/>
          <w:footerReference r:id="rId4" w:type="default"/>
          <w:pgSz w:w="23814" w:h="16839" w:orient="landscape"/>
          <w:pgMar w:top="1418" w:right="1134" w:bottom="1418" w:left="1418" w:header="624" w:footer="851" w:gutter="0"/>
          <w:pgBorders>
            <w:top w:val="none" w:sz="0" w:space="0"/>
            <w:left w:val="none" w:sz="0" w:space="0"/>
            <w:bottom w:val="none" w:sz="0" w:space="0"/>
            <w:right w:val="none" w:sz="0" w:space="0"/>
          </w:pgBorders>
          <w:pgNumType w:start="3" w:chapStyle="1"/>
          <w:cols w:space="425" w:num="1"/>
          <w:docGrid w:type="lines" w:linePitch="312" w:charSpace="0"/>
        </w:sectPr>
      </w:pPr>
    </w:p>
    <w:p>
      <w:pPr>
        <w:tabs>
          <w:tab w:val="left" w:pos="720"/>
          <w:tab w:val="left" w:pos="10440"/>
        </w:tabs>
        <w:adjustRightInd w:val="0"/>
        <w:spacing w:line="360" w:lineRule="auto"/>
        <w:rPr>
          <w:rFonts w:ascii="宋体" w:hAnsi="宋体"/>
          <w:b/>
          <w:spacing w:val="4"/>
          <w:kern w:val="30"/>
          <w:sz w:val="28"/>
          <w:szCs w:val="28"/>
        </w:rPr>
      </w:pPr>
      <w:r>
        <w:rPr>
          <w:rFonts w:hint="eastAsia" w:ascii="宋体" w:hAnsi="宋体"/>
          <w:b/>
          <w:spacing w:val="4"/>
          <w:kern w:val="30"/>
          <w:sz w:val="28"/>
          <w:szCs w:val="28"/>
        </w:rPr>
        <w:t>一</w:t>
      </w:r>
      <w:r>
        <w:rPr>
          <w:rFonts w:hint="eastAsia" w:ascii="宋体" w:hAnsi="宋体"/>
          <w:b/>
          <w:spacing w:val="4"/>
          <w:sz w:val="28"/>
          <w:szCs w:val="28"/>
        </w:rPr>
        <w:t>.</w:t>
      </w:r>
      <w:r>
        <w:rPr>
          <w:rFonts w:hint="eastAsia" w:ascii="宋体" w:hAnsi="宋体"/>
          <w:b/>
          <w:spacing w:val="4"/>
          <w:kern w:val="30"/>
          <w:sz w:val="28"/>
          <w:szCs w:val="28"/>
        </w:rPr>
        <w:t xml:space="preserve">工程概况、设计依据及测设经过                                                       </w:t>
      </w:r>
    </w:p>
    <w:p>
      <w:pPr>
        <w:tabs>
          <w:tab w:val="left" w:pos="10440"/>
        </w:tabs>
        <w:adjustRightInd w:val="0"/>
        <w:spacing w:line="360" w:lineRule="auto"/>
        <w:ind w:left="600" w:right="172" w:rightChars="82"/>
        <w:rPr>
          <w:rFonts w:ascii="宋体" w:hAnsi="宋体"/>
          <w:spacing w:val="4"/>
          <w:kern w:val="30"/>
          <w:sz w:val="28"/>
          <w:szCs w:val="28"/>
        </w:rPr>
      </w:pPr>
      <w:r>
        <w:rPr>
          <w:rFonts w:hint="eastAsia" w:ascii="宋体" w:hAnsi="宋体"/>
          <w:b/>
          <w:spacing w:val="4"/>
          <w:kern w:val="30"/>
          <w:sz w:val="28"/>
          <w:szCs w:val="28"/>
        </w:rPr>
        <w:t>1.1概述</w:t>
      </w:r>
    </w:p>
    <w:p>
      <w:pPr>
        <w:adjustRightInd w:val="0"/>
        <w:spacing w:line="360" w:lineRule="auto"/>
        <w:ind w:left="-53" w:leftChars="-25" w:right="-53" w:rightChars="-25" w:firstLine="496" w:firstLineChars="200"/>
        <w:rPr>
          <w:rFonts w:ascii="宋体" w:hAnsi="宋体"/>
          <w:spacing w:val="4"/>
          <w:kern w:val="30"/>
          <w:sz w:val="24"/>
        </w:rPr>
      </w:pPr>
      <w:r>
        <w:rPr>
          <w:rFonts w:hint="eastAsia" w:ascii="宋体" w:hAnsi="宋体"/>
          <w:color w:val="0000FF"/>
          <w:spacing w:val="4"/>
          <w:kern w:val="30"/>
          <w:sz w:val="24"/>
          <w:lang w:val="en-US" w:eastAsia="zh-CN"/>
        </w:rPr>
        <w:t>民隆村新安屯水泥路</w:t>
      </w:r>
      <w:r>
        <w:rPr>
          <w:rFonts w:hint="eastAsia" w:ascii="宋体" w:hAnsi="宋体"/>
          <w:spacing w:val="4"/>
          <w:kern w:val="30"/>
          <w:sz w:val="24"/>
          <w:lang w:eastAsia="zh-CN"/>
        </w:rPr>
        <w:t>（屯外）</w:t>
      </w:r>
      <w:r>
        <w:rPr>
          <w:rFonts w:hint="eastAsia" w:ascii="宋体" w:hAnsi="宋体"/>
          <w:spacing w:val="4"/>
          <w:kern w:val="30"/>
          <w:sz w:val="24"/>
        </w:rPr>
        <w:t>位于</w:t>
      </w:r>
      <w:r>
        <w:rPr>
          <w:rFonts w:hint="eastAsia" w:ascii="宋体" w:hAnsi="宋体"/>
          <w:color w:val="0000FF"/>
          <w:spacing w:val="4"/>
          <w:kern w:val="30"/>
          <w:sz w:val="24"/>
        </w:rPr>
        <w:t>桦甸市</w:t>
      </w:r>
      <w:r>
        <w:rPr>
          <w:rFonts w:hint="eastAsia" w:ascii="宋体" w:hAnsi="宋体"/>
          <w:color w:val="0000FF"/>
          <w:spacing w:val="4"/>
          <w:kern w:val="30"/>
          <w:sz w:val="24"/>
          <w:lang w:eastAsia="zh-CN"/>
        </w:rPr>
        <w:t>金沙镇</w:t>
      </w:r>
      <w:r>
        <w:rPr>
          <w:rFonts w:hint="eastAsia" w:ascii="宋体" w:hAnsi="宋体"/>
          <w:spacing w:val="4"/>
          <w:kern w:val="30"/>
          <w:sz w:val="24"/>
        </w:rPr>
        <w:t>，是</w:t>
      </w:r>
      <w:r>
        <w:rPr>
          <w:rFonts w:hint="eastAsia" w:ascii="宋体" w:hAnsi="宋体"/>
          <w:color w:val="0000FF"/>
          <w:spacing w:val="4"/>
          <w:kern w:val="30"/>
          <w:sz w:val="24"/>
        </w:rPr>
        <w:t>桦甸市</w:t>
      </w:r>
      <w:r>
        <w:rPr>
          <w:rFonts w:hint="eastAsia" w:ascii="宋体" w:hAnsi="宋体"/>
          <w:color w:val="0000FF"/>
          <w:spacing w:val="4"/>
          <w:kern w:val="30"/>
          <w:sz w:val="24"/>
          <w:lang w:eastAsia="zh-CN"/>
        </w:rPr>
        <w:t>金沙镇</w:t>
      </w:r>
      <w:r>
        <w:rPr>
          <w:rFonts w:hint="eastAsia" w:ascii="宋体" w:hAnsi="宋体"/>
          <w:spacing w:val="4"/>
          <w:kern w:val="30"/>
          <w:sz w:val="24"/>
        </w:rPr>
        <w:t>重点实施的道路工程，路线全长</w:t>
      </w:r>
      <w:r>
        <w:rPr>
          <w:rFonts w:hint="eastAsia" w:ascii="宋体" w:hAnsi="宋体"/>
          <w:color w:val="0000FF"/>
          <w:spacing w:val="4"/>
          <w:kern w:val="30"/>
          <w:sz w:val="24"/>
          <w:lang w:val="en-US" w:eastAsia="zh-CN"/>
        </w:rPr>
        <w:t>1.385</w:t>
      </w:r>
      <w:r>
        <w:rPr>
          <w:rFonts w:hint="eastAsia" w:ascii="宋体" w:hAnsi="宋体"/>
          <w:color w:val="0000FF"/>
          <w:spacing w:val="4"/>
          <w:kern w:val="30"/>
          <w:sz w:val="24"/>
        </w:rPr>
        <w:t>公里，项目拟建</w:t>
      </w:r>
      <w:r>
        <w:rPr>
          <w:rFonts w:hint="eastAsia" w:ascii="宋体" w:hAnsi="宋体"/>
          <w:color w:val="0000FF"/>
          <w:spacing w:val="4"/>
          <w:kern w:val="30"/>
          <w:sz w:val="24"/>
          <w:lang w:val="en-US" w:eastAsia="zh-CN"/>
        </w:rPr>
        <w:t>1</w:t>
      </w:r>
      <w:r>
        <w:rPr>
          <w:rFonts w:hint="eastAsia" w:ascii="宋体" w:hAnsi="宋体"/>
          <w:color w:val="0000FF"/>
          <w:spacing w:val="4"/>
          <w:kern w:val="30"/>
          <w:sz w:val="24"/>
        </w:rPr>
        <w:t>条水泥路，拟建道路与村内原有水泥路相接</w:t>
      </w:r>
      <w:r>
        <w:rPr>
          <w:rFonts w:hint="eastAsia" w:ascii="宋体" w:hAnsi="宋体"/>
          <w:spacing w:val="4"/>
          <w:kern w:val="30"/>
          <w:sz w:val="24"/>
        </w:rPr>
        <w:t>。本项目原为</w:t>
      </w:r>
      <w:r>
        <w:rPr>
          <w:rFonts w:hint="eastAsia" w:ascii="宋体" w:hAnsi="宋体"/>
          <w:spacing w:val="4"/>
          <w:kern w:val="30"/>
          <w:sz w:val="24"/>
          <w:lang w:val="en-US" w:eastAsia="zh-CN"/>
        </w:rPr>
        <w:t>2010年修建的</w:t>
      </w:r>
      <w:r>
        <w:rPr>
          <w:rFonts w:hint="eastAsia" w:ascii="宋体" w:hAnsi="宋体"/>
          <w:color w:val="0000FF"/>
          <w:spacing w:val="4"/>
          <w:kern w:val="30"/>
          <w:sz w:val="24"/>
          <w:lang w:val="en-US" w:eastAsia="zh-CN"/>
        </w:rPr>
        <w:t>水泥</w:t>
      </w:r>
      <w:r>
        <w:rPr>
          <w:rFonts w:hint="eastAsia" w:ascii="宋体" w:hAnsi="宋体"/>
          <w:color w:val="0000FF"/>
          <w:spacing w:val="4"/>
          <w:kern w:val="30"/>
          <w:sz w:val="24"/>
        </w:rPr>
        <w:t>路</w:t>
      </w:r>
      <w:r>
        <w:rPr>
          <w:rFonts w:hint="eastAsia" w:ascii="宋体" w:hAnsi="宋体"/>
          <w:spacing w:val="4"/>
          <w:kern w:val="30"/>
          <w:sz w:val="24"/>
        </w:rPr>
        <w:t>，因缺乏必要的</w:t>
      </w:r>
      <w:r>
        <w:rPr>
          <w:rFonts w:hint="eastAsia" w:ascii="宋体" w:hAnsi="宋体"/>
          <w:spacing w:val="4"/>
          <w:kern w:val="30"/>
          <w:sz w:val="24"/>
          <w:lang w:val="en-US" w:eastAsia="zh-CN"/>
        </w:rPr>
        <w:t>维护</w:t>
      </w:r>
      <w:r>
        <w:rPr>
          <w:rFonts w:hint="eastAsia" w:ascii="宋体" w:hAnsi="宋体"/>
          <w:spacing w:val="4"/>
          <w:kern w:val="30"/>
          <w:sz w:val="24"/>
        </w:rPr>
        <w:t>，</w:t>
      </w:r>
      <w:r>
        <w:rPr>
          <w:rFonts w:hint="eastAsia" w:ascii="宋体" w:hAnsi="宋体"/>
          <w:spacing w:val="4"/>
          <w:kern w:val="30"/>
          <w:sz w:val="24"/>
          <w:lang w:val="en-US" w:eastAsia="zh-CN"/>
        </w:rPr>
        <w:t>加之近几年雨水较大，</w:t>
      </w:r>
      <w:r>
        <w:rPr>
          <w:rFonts w:hint="eastAsia" w:ascii="宋体" w:hAnsi="宋体"/>
          <w:spacing w:val="4"/>
          <w:kern w:val="30"/>
          <w:sz w:val="24"/>
        </w:rPr>
        <w:t>路况较差</w:t>
      </w:r>
      <w:r>
        <w:rPr>
          <w:rFonts w:hint="eastAsia" w:ascii="宋体" w:hAnsi="宋体"/>
          <w:spacing w:val="4"/>
          <w:kern w:val="30"/>
          <w:sz w:val="24"/>
          <w:lang w:val="en-US" w:eastAsia="zh-CN"/>
        </w:rPr>
        <w:t>，</w:t>
      </w:r>
      <w:r>
        <w:rPr>
          <w:rFonts w:hint="eastAsia" w:ascii="宋体" w:hAnsi="宋体"/>
          <w:spacing w:val="4"/>
          <w:kern w:val="30"/>
          <w:sz w:val="24"/>
        </w:rPr>
        <w:t>行车颠簸</w:t>
      </w:r>
      <w:r>
        <w:rPr>
          <w:rFonts w:hint="eastAsia" w:ascii="宋体" w:hAnsi="宋体"/>
          <w:spacing w:val="4"/>
          <w:kern w:val="30"/>
          <w:sz w:val="24"/>
          <w:lang w:eastAsia="zh-CN"/>
        </w:rPr>
        <w:t>，</w:t>
      </w:r>
      <w:r>
        <w:rPr>
          <w:rFonts w:hint="eastAsia" w:ascii="宋体" w:hAnsi="宋体"/>
          <w:spacing w:val="4"/>
          <w:kern w:val="30"/>
          <w:sz w:val="24"/>
        </w:rPr>
        <w:t xml:space="preserve">雨季泥泞，晴天扬尘，冬季积雪、结冰，路滑，行车非常困难，严重影响了车辆正常通行和货物运输。 </w:t>
      </w:r>
    </w:p>
    <w:p>
      <w:pPr>
        <w:tabs>
          <w:tab w:val="left" w:pos="10440"/>
        </w:tabs>
        <w:adjustRightInd w:val="0"/>
        <w:spacing w:line="360" w:lineRule="auto"/>
        <w:ind w:left="600" w:right="172" w:rightChars="82"/>
        <w:rPr>
          <w:rFonts w:ascii="宋体" w:hAnsi="宋体"/>
          <w:b/>
          <w:spacing w:val="4"/>
          <w:kern w:val="30"/>
          <w:sz w:val="28"/>
          <w:szCs w:val="28"/>
        </w:rPr>
      </w:pPr>
      <w:r>
        <w:rPr>
          <w:rFonts w:hint="eastAsia" w:ascii="宋体" w:hAnsi="宋体"/>
          <w:b/>
          <w:spacing w:val="4"/>
          <w:kern w:val="30"/>
          <w:sz w:val="28"/>
          <w:szCs w:val="28"/>
        </w:rPr>
        <w:t>1.2设计依据</w:t>
      </w:r>
    </w:p>
    <w:p>
      <w:pPr>
        <w:tabs>
          <w:tab w:val="left" w:pos="10440"/>
        </w:tabs>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依据业主与我公司签订的测设委托合同，我公司承担了本段工程的勘察设计任务。本工程遵照下列标准、规范进行勘察、设计：</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0</w:t>
      </w:r>
      <w:r>
        <w:rPr>
          <w:rFonts w:hint="eastAsia" w:ascii="宋体" w:hAnsi="宋体"/>
          <w:spacing w:val="4"/>
          <w:kern w:val="30"/>
          <w:sz w:val="24"/>
        </w:rPr>
        <w:t>1)交通部颁发《公路工程技术标准》(JTGB01～2014</w:t>
      </w:r>
      <w:r>
        <w:rPr>
          <w:rFonts w:ascii="宋体" w:hAnsi="宋体"/>
          <w:spacing w:val="4"/>
          <w:kern w:val="30"/>
          <w:sz w:val="24"/>
        </w:rPr>
        <w:t>)</w:t>
      </w:r>
      <w:r>
        <w:rPr>
          <w:rFonts w:hint="eastAsia" w:ascii="宋体" w:hAnsi="宋体"/>
          <w:sz w:val="24"/>
        </w:rPr>
        <w:t>；</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0</w:t>
      </w:r>
      <w:r>
        <w:rPr>
          <w:rFonts w:hint="eastAsia" w:ascii="宋体" w:hAnsi="宋体"/>
          <w:spacing w:val="4"/>
          <w:kern w:val="30"/>
          <w:sz w:val="24"/>
        </w:rPr>
        <w:t>2)交通部颁发《公路勘测规范》(JTGC10～2018)</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(03)交通部《公路勘测细则》(JTG/T C10—2007)；</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04</w:t>
      </w:r>
      <w:r>
        <w:rPr>
          <w:rFonts w:hint="eastAsia" w:ascii="宋体" w:hAnsi="宋体"/>
          <w:spacing w:val="4"/>
          <w:kern w:val="30"/>
          <w:sz w:val="24"/>
        </w:rPr>
        <w:t>)交通部颁发《公路路基设计规范》(JTGD30～2015)</w:t>
      </w:r>
      <w:r>
        <w:rPr>
          <w:rFonts w:hint="eastAsia" w:ascii="宋体" w:hAnsi="宋体"/>
          <w:sz w:val="24"/>
        </w:rPr>
        <w:t xml:space="preserve"> ；</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05</w:t>
      </w:r>
      <w:r>
        <w:rPr>
          <w:rFonts w:hint="eastAsia" w:ascii="宋体" w:hAnsi="宋体"/>
          <w:spacing w:val="4"/>
          <w:kern w:val="30"/>
          <w:sz w:val="24"/>
        </w:rPr>
        <w:t>)</w:t>
      </w:r>
      <w:r>
        <w:rPr>
          <w:rFonts w:hint="eastAsia" w:ascii="宋体" w:hAnsi="宋体"/>
          <w:sz w:val="24"/>
        </w:rPr>
        <w:t>交通运输部《公路排水设计规范》(JTG/T D33—2012)；</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06</w:t>
      </w:r>
      <w:r>
        <w:rPr>
          <w:rFonts w:hint="eastAsia" w:ascii="宋体" w:hAnsi="宋体"/>
          <w:spacing w:val="4"/>
          <w:kern w:val="30"/>
          <w:sz w:val="24"/>
        </w:rPr>
        <w:t>)交通部颁发《公路路线设计规范》(JTGD20～2017)</w:t>
      </w:r>
      <w:r>
        <w:rPr>
          <w:rFonts w:hint="eastAsia" w:ascii="宋体" w:hAnsi="宋体"/>
          <w:sz w:val="24"/>
        </w:rPr>
        <w:t xml:space="preserve"> ；</w:t>
      </w:r>
    </w:p>
    <w:p>
      <w:pPr>
        <w:adjustRightInd w:val="0"/>
        <w:spacing w:line="360" w:lineRule="auto"/>
        <w:ind w:firstLine="496" w:firstLineChars="200"/>
        <w:rPr>
          <w:rFonts w:ascii="宋体" w:hAnsi="宋体"/>
          <w:sz w:val="24"/>
        </w:rPr>
      </w:pPr>
      <w:r>
        <w:rPr>
          <w:rFonts w:hint="eastAsia" w:ascii="宋体" w:hAnsi="宋体"/>
          <w:spacing w:val="4"/>
          <w:kern w:val="30"/>
          <w:sz w:val="24"/>
        </w:rPr>
        <w:t>(</w:t>
      </w:r>
      <w:r>
        <w:rPr>
          <w:rFonts w:ascii="宋体" w:hAnsi="宋体"/>
          <w:spacing w:val="4"/>
          <w:kern w:val="30"/>
          <w:sz w:val="24"/>
        </w:rPr>
        <w:t>07</w:t>
      </w:r>
      <w:r>
        <w:rPr>
          <w:rFonts w:hint="eastAsia" w:ascii="宋体" w:hAnsi="宋体"/>
          <w:spacing w:val="4"/>
          <w:kern w:val="30"/>
          <w:sz w:val="24"/>
        </w:rPr>
        <w:t>)</w:t>
      </w:r>
      <w:r>
        <w:rPr>
          <w:rFonts w:hint="eastAsia" w:ascii="宋体" w:hAnsi="宋体"/>
          <w:sz w:val="24"/>
        </w:rPr>
        <w:t>交通运输部《公路桥涵设计通用规范》(JTG D60—2015)；</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08</w:t>
      </w:r>
      <w:r>
        <w:rPr>
          <w:rFonts w:hint="eastAsia" w:ascii="宋体" w:hAnsi="宋体"/>
          <w:sz w:val="24"/>
        </w:rPr>
        <w:t>)交通运输部《公路工程水文勘测设计规范》(JTG C30—2015)；</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09</w:t>
      </w:r>
      <w:r>
        <w:rPr>
          <w:rFonts w:hint="eastAsia" w:ascii="宋体" w:hAnsi="宋体"/>
          <w:sz w:val="24"/>
        </w:rPr>
        <w:t>)交通运输部《公路钢筋混凝土及预应力混凝土桥涵设计规范》(JTG 3362—2018)；</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 xml:space="preserve">)交通部《公路圬工桥涵设计规范》(JTG D6l—2005)； </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)交通运输部《公路桥涵地基与基础设计规范》(JTG 3363—2019)；</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2</w:t>
      </w:r>
      <w:r>
        <w:rPr>
          <w:rFonts w:hint="eastAsia" w:ascii="宋体" w:hAnsi="宋体"/>
          <w:sz w:val="24"/>
        </w:rPr>
        <w:t>)交通部《公路涵洞设计细则》(JTG/T D65-04—2007)；</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13</w:t>
      </w:r>
      <w:r>
        <w:rPr>
          <w:rFonts w:hint="eastAsia" w:ascii="宋体" w:hAnsi="宋体"/>
          <w:sz w:val="24"/>
        </w:rPr>
        <w:t>)交通运输部《公路工程地质勘察规范》(JTG C20—2011)；</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14</w:t>
      </w:r>
      <w:r>
        <w:rPr>
          <w:rFonts w:hint="eastAsia" w:ascii="宋体" w:hAnsi="宋体"/>
          <w:sz w:val="24"/>
        </w:rPr>
        <w:t>)交通运输部《公路环境保护设计规范》(JTG B04—2010)；</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5)交通运输部《公路路基施工技术规范》(JTG/T 3610—2019)；</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6)交通运输部《公路路面基层施工技术细则》(JTG/T F20—2015)；</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17</w:t>
      </w:r>
      <w:r>
        <w:rPr>
          <w:rFonts w:hint="eastAsia" w:ascii="宋体" w:hAnsi="宋体"/>
          <w:spacing w:val="4"/>
          <w:kern w:val="30"/>
          <w:sz w:val="24"/>
        </w:rPr>
        <w:t>)交通部颁发《公路水泥混凝土路面设计规范》(JTGD40～2011)</w:t>
      </w:r>
      <w:r>
        <w:rPr>
          <w:rFonts w:hint="eastAsia" w:ascii="宋体" w:hAnsi="宋体"/>
          <w:sz w:val="24"/>
        </w:rPr>
        <w:t>；</w:t>
      </w:r>
    </w:p>
    <w:p>
      <w:pPr>
        <w:adjustRightInd w:val="0"/>
        <w:spacing w:line="360" w:lineRule="auto"/>
        <w:ind w:firstLine="496" w:firstLineChars="200"/>
        <w:rPr>
          <w:rFonts w:ascii="宋体" w:hAnsi="宋体"/>
          <w:sz w:val="24"/>
        </w:rPr>
      </w:pPr>
      <w:r>
        <w:rPr>
          <w:rFonts w:hint="eastAsia" w:ascii="宋体" w:hAnsi="宋体"/>
          <w:spacing w:val="4"/>
          <w:kern w:val="30"/>
          <w:sz w:val="24"/>
        </w:rPr>
        <w:t>(</w:t>
      </w:r>
      <w:r>
        <w:rPr>
          <w:rFonts w:ascii="宋体" w:hAnsi="宋体"/>
          <w:spacing w:val="4"/>
          <w:kern w:val="30"/>
          <w:sz w:val="24"/>
        </w:rPr>
        <w:t>18</w:t>
      </w:r>
      <w:r>
        <w:rPr>
          <w:rFonts w:hint="eastAsia" w:ascii="宋体" w:hAnsi="宋体"/>
          <w:spacing w:val="4"/>
          <w:kern w:val="30"/>
          <w:sz w:val="24"/>
        </w:rPr>
        <w:t>)交通部颁发《公路水泥混凝土路面施工技术细则》(JTG/TF30～2014)</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9)交通运输部《公路桥涵施工技术规范》(JTG/T F50—2011)；</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20</w:t>
      </w:r>
      <w:r>
        <w:rPr>
          <w:rFonts w:hint="eastAsia" w:ascii="宋体" w:hAnsi="宋体"/>
          <w:sz w:val="24"/>
        </w:rPr>
        <w:t>)交通部《公路土工试验规程》(JTG E40—2007)；</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21</w:t>
      </w:r>
      <w:r>
        <w:rPr>
          <w:rFonts w:hint="eastAsia" w:ascii="宋体" w:hAnsi="宋体"/>
          <w:sz w:val="24"/>
        </w:rPr>
        <w:t>)交通部《公路工程集料试验规程》(JTG E42—2005)；</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22</w:t>
      </w:r>
      <w:r>
        <w:rPr>
          <w:rFonts w:hint="eastAsia" w:ascii="宋体" w:hAnsi="宋体"/>
          <w:sz w:val="24"/>
        </w:rPr>
        <w:t>)交通运输部《公路路基路面现场测试规程》(JTG 3450—2019)；</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23</w:t>
      </w:r>
      <w:r>
        <w:rPr>
          <w:rFonts w:hint="eastAsia" w:ascii="宋体" w:hAnsi="宋体"/>
          <w:sz w:val="24"/>
        </w:rPr>
        <w:t>)交通运输部《公路工程基本建设项目概算预算编制办法》(JTG 3830-2018</w:t>
      </w:r>
      <w:r>
        <w:rPr>
          <w:rFonts w:ascii="宋体" w:hAnsi="宋体"/>
          <w:sz w:val="24"/>
        </w:rPr>
        <w:t>)</w:t>
      </w:r>
      <w:r>
        <w:rPr>
          <w:rFonts w:hint="eastAsia" w:ascii="宋体" w:hAnsi="宋体"/>
          <w:sz w:val="24"/>
        </w:rPr>
        <w:t>；</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w:t>
      </w:r>
      <w:r>
        <w:rPr>
          <w:rFonts w:ascii="宋体" w:hAnsi="宋体"/>
          <w:spacing w:val="4"/>
          <w:kern w:val="30"/>
          <w:sz w:val="24"/>
        </w:rPr>
        <w:t>24</w:t>
      </w:r>
      <w:r>
        <w:rPr>
          <w:rFonts w:hint="eastAsia" w:ascii="宋体" w:hAnsi="宋体"/>
          <w:spacing w:val="4"/>
          <w:kern w:val="30"/>
          <w:sz w:val="24"/>
        </w:rPr>
        <w:t>)交通部专家委员会编《县乡公路水泥混凝土路面设计与施工》</w:t>
      </w:r>
      <w:r>
        <w:rPr>
          <w:rFonts w:hint="eastAsia" w:ascii="宋体" w:hAnsi="宋体"/>
          <w:sz w:val="24"/>
        </w:rPr>
        <w:t>；</w:t>
      </w:r>
    </w:p>
    <w:p>
      <w:pPr>
        <w:adjustRightInd w:val="0"/>
        <w:spacing w:line="360" w:lineRule="auto"/>
        <w:ind w:firstLine="496" w:firstLineChars="200"/>
        <w:rPr>
          <w:rFonts w:ascii="宋体" w:hAnsi="宋体"/>
          <w:spacing w:val="4"/>
          <w:sz w:val="24"/>
        </w:rPr>
      </w:pPr>
      <w:r>
        <w:rPr>
          <w:rFonts w:hint="eastAsia" w:ascii="宋体" w:hAnsi="宋体"/>
          <w:spacing w:val="4"/>
          <w:sz w:val="24"/>
        </w:rPr>
        <w:t>(</w:t>
      </w:r>
      <w:r>
        <w:rPr>
          <w:rFonts w:ascii="宋体" w:hAnsi="宋体"/>
          <w:spacing w:val="4"/>
          <w:sz w:val="24"/>
        </w:rPr>
        <w:t>25</w:t>
      </w:r>
      <w:r>
        <w:rPr>
          <w:rFonts w:hint="eastAsia" w:ascii="宋体" w:hAnsi="宋体"/>
          <w:spacing w:val="4"/>
          <w:sz w:val="24"/>
        </w:rPr>
        <w:t>)吉林省交通运输厅编《吉林省农村公路建设与养护技术指南》</w:t>
      </w:r>
      <w:r>
        <w:rPr>
          <w:rFonts w:hint="eastAsia" w:ascii="宋体" w:hAnsi="宋体"/>
          <w:sz w:val="24"/>
        </w:rPr>
        <w:t>；</w:t>
      </w:r>
    </w:p>
    <w:p>
      <w:pPr>
        <w:adjustRightInd w:val="0"/>
        <w:spacing w:line="360" w:lineRule="auto"/>
        <w:ind w:firstLine="496" w:firstLineChars="200"/>
        <w:rPr>
          <w:rFonts w:ascii="宋体" w:hAnsi="宋体"/>
          <w:spacing w:val="4"/>
          <w:sz w:val="24"/>
        </w:rPr>
      </w:pPr>
      <w:r>
        <w:rPr>
          <w:rFonts w:hint="eastAsia" w:ascii="宋体" w:hAnsi="宋体"/>
          <w:spacing w:val="4"/>
          <w:sz w:val="24"/>
        </w:rPr>
        <w:t>(</w:t>
      </w:r>
      <w:r>
        <w:rPr>
          <w:rFonts w:ascii="宋体" w:hAnsi="宋体"/>
          <w:spacing w:val="4"/>
          <w:sz w:val="24"/>
        </w:rPr>
        <w:t>26</w:t>
      </w:r>
      <w:r>
        <w:rPr>
          <w:rFonts w:hint="eastAsia" w:ascii="宋体" w:hAnsi="宋体"/>
          <w:spacing w:val="4"/>
          <w:sz w:val="24"/>
        </w:rPr>
        <w:t>)</w:t>
      </w:r>
      <w:r>
        <w:rPr>
          <w:rFonts w:hint="eastAsia" w:ascii="宋体" w:hAnsi="宋体"/>
          <w:sz w:val="24"/>
        </w:rPr>
        <w:t>国家标准</w:t>
      </w:r>
      <w:r>
        <w:rPr>
          <w:rFonts w:hint="eastAsia" w:ascii="宋体" w:hAnsi="宋体"/>
          <w:spacing w:val="4"/>
          <w:kern w:val="30"/>
          <w:sz w:val="24"/>
        </w:rPr>
        <w:t>《乡村道路工程技术规范》(GB/T 51224～2017)</w:t>
      </w:r>
      <w:r>
        <w:rPr>
          <w:rFonts w:hint="eastAsia" w:ascii="宋体" w:hAnsi="宋体"/>
          <w:sz w:val="24"/>
        </w:rPr>
        <w:t>；</w:t>
      </w:r>
    </w:p>
    <w:p>
      <w:pPr>
        <w:adjustRightInd w:val="0"/>
        <w:spacing w:line="360" w:lineRule="auto"/>
        <w:ind w:firstLine="496" w:firstLineChars="200"/>
        <w:rPr>
          <w:rFonts w:ascii="宋体" w:hAnsi="宋体"/>
          <w:sz w:val="24"/>
        </w:rPr>
      </w:pPr>
      <w:r>
        <w:rPr>
          <w:rFonts w:hint="eastAsia" w:ascii="宋体" w:hAnsi="宋体"/>
          <w:spacing w:val="4"/>
          <w:sz w:val="24"/>
        </w:rPr>
        <w:t>(</w:t>
      </w:r>
      <w:r>
        <w:rPr>
          <w:rFonts w:ascii="宋体" w:hAnsi="宋体"/>
          <w:spacing w:val="4"/>
          <w:sz w:val="24"/>
        </w:rPr>
        <w:t>27</w:t>
      </w:r>
      <w:r>
        <w:rPr>
          <w:rFonts w:hint="eastAsia" w:ascii="宋体" w:hAnsi="宋体"/>
          <w:spacing w:val="4"/>
          <w:sz w:val="24"/>
        </w:rPr>
        <w:t>)</w:t>
      </w:r>
      <w:r>
        <w:rPr>
          <w:rFonts w:hint="eastAsia" w:ascii="宋体" w:hAnsi="宋体"/>
          <w:sz w:val="24"/>
        </w:rPr>
        <w:t>交通运输部</w:t>
      </w:r>
      <w:r>
        <w:rPr>
          <w:rFonts w:hint="eastAsia" w:ascii="宋体" w:hAnsi="宋体"/>
          <w:spacing w:val="4"/>
          <w:kern w:val="30"/>
          <w:sz w:val="24"/>
        </w:rPr>
        <w:t>《小交通量农村公路工程技术标准》(JTG 2111～2019)</w:t>
      </w:r>
      <w:r>
        <w:rPr>
          <w:rFonts w:hint="eastAsia" w:ascii="宋体" w:hAnsi="宋体"/>
          <w:sz w:val="24"/>
        </w:rPr>
        <w:t>；</w:t>
      </w:r>
    </w:p>
    <w:p>
      <w:pPr>
        <w:adjustRightInd w:val="0"/>
        <w:spacing w:line="360" w:lineRule="auto"/>
        <w:ind w:firstLine="496" w:firstLineChars="200"/>
        <w:rPr>
          <w:rFonts w:hint="eastAsia" w:ascii="宋体" w:hAnsi="宋体" w:eastAsia="宋体"/>
          <w:spacing w:val="4"/>
          <w:kern w:val="30"/>
          <w:sz w:val="24"/>
          <w:lang w:eastAsia="zh-CN"/>
        </w:rPr>
      </w:pPr>
      <w:r>
        <w:rPr>
          <w:rFonts w:hint="eastAsia" w:ascii="宋体" w:hAnsi="宋体"/>
          <w:spacing w:val="4"/>
          <w:kern w:val="30"/>
          <w:sz w:val="24"/>
        </w:rPr>
        <w:t>(</w:t>
      </w:r>
      <w:r>
        <w:rPr>
          <w:rFonts w:ascii="宋体" w:hAnsi="宋体"/>
          <w:spacing w:val="4"/>
          <w:kern w:val="30"/>
          <w:sz w:val="24"/>
        </w:rPr>
        <w:t>28</w:t>
      </w:r>
      <w:r>
        <w:rPr>
          <w:rFonts w:hint="eastAsia" w:ascii="宋体" w:hAnsi="宋体"/>
          <w:spacing w:val="4"/>
          <w:kern w:val="30"/>
          <w:sz w:val="24"/>
        </w:rPr>
        <w:t>)《吉林省大中型水库移民扶持项目管理办法》（附件）</w:t>
      </w:r>
      <w:r>
        <w:rPr>
          <w:rFonts w:hint="eastAsia" w:ascii="宋体" w:hAnsi="宋体"/>
          <w:sz w:val="24"/>
          <w:lang w:eastAsia="zh-CN"/>
        </w:rPr>
        <w:t>。</w:t>
      </w:r>
    </w:p>
    <w:p>
      <w:pPr>
        <w:adjustRightInd w:val="0"/>
        <w:spacing w:line="360" w:lineRule="auto"/>
        <w:ind w:firstLine="578" w:firstLineChars="200"/>
        <w:rPr>
          <w:rFonts w:ascii="宋体" w:hAnsi="宋体"/>
          <w:b/>
          <w:spacing w:val="4"/>
          <w:kern w:val="30"/>
          <w:sz w:val="28"/>
          <w:szCs w:val="28"/>
        </w:rPr>
      </w:pPr>
      <w:r>
        <w:rPr>
          <w:rFonts w:hint="eastAsia" w:ascii="宋体" w:hAnsi="宋体"/>
          <w:b/>
          <w:spacing w:val="4"/>
          <w:kern w:val="30"/>
          <w:sz w:val="28"/>
          <w:szCs w:val="28"/>
        </w:rPr>
        <w:t>1.3技术标准</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本次设计采用的技术标准如下表：</w:t>
      </w:r>
    </w:p>
    <w:p>
      <w:pPr>
        <w:adjustRightInd w:val="0"/>
        <w:spacing w:line="360" w:lineRule="auto"/>
        <w:jc w:val="center"/>
        <w:rPr>
          <w:rFonts w:ascii="宋体" w:hAnsi="宋体"/>
          <w:bCs/>
          <w:spacing w:val="4"/>
          <w:kern w:val="30"/>
          <w:sz w:val="24"/>
        </w:rPr>
      </w:pPr>
      <w:r>
        <w:rPr>
          <w:rFonts w:hint="eastAsia" w:ascii="宋体" w:hAnsi="宋体"/>
          <w:bCs/>
          <w:spacing w:val="4"/>
          <w:kern w:val="30"/>
          <w:sz w:val="24"/>
        </w:rPr>
        <w:t>技 术 标 准</w:t>
      </w:r>
    </w:p>
    <w:tbl>
      <w:tblPr>
        <w:tblStyle w:val="6"/>
        <w:tblW w:w="102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8"/>
        <w:gridCol w:w="2028"/>
        <w:gridCol w:w="3507"/>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88" w:type="dxa"/>
            <w:tcBorders>
              <w:top w:val="single" w:color="auto" w:sz="18" w:space="0"/>
              <w:left w:val="single" w:color="auto" w:sz="18"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公路等级:</w:t>
            </w:r>
          </w:p>
        </w:tc>
        <w:tc>
          <w:tcPr>
            <w:tcW w:w="2028" w:type="dxa"/>
            <w:tcBorders>
              <w:top w:val="single" w:color="auto" w:sz="18" w:space="0"/>
              <w:left w:val="single" w:color="auto" w:sz="4" w:space="0"/>
              <w:bottom w:val="single" w:color="auto" w:sz="4" w:space="0"/>
              <w:right w:val="single" w:color="auto" w:sz="2"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等外级公路</w:t>
            </w:r>
          </w:p>
        </w:tc>
        <w:tc>
          <w:tcPr>
            <w:tcW w:w="3507" w:type="dxa"/>
            <w:tcBorders>
              <w:top w:val="single" w:color="auto" w:sz="18" w:space="0"/>
              <w:left w:val="single" w:color="auto" w:sz="2"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路基宽度：</w:t>
            </w:r>
          </w:p>
        </w:tc>
        <w:tc>
          <w:tcPr>
            <w:tcW w:w="1559" w:type="dxa"/>
            <w:tcBorders>
              <w:top w:val="single" w:color="auto" w:sz="18" w:space="0"/>
              <w:left w:val="single" w:color="auto" w:sz="4" w:space="0"/>
              <w:bottom w:val="single" w:color="auto" w:sz="4" w:space="0"/>
              <w:right w:val="single" w:color="auto" w:sz="18" w:space="0"/>
            </w:tcBorders>
            <w:vAlign w:val="center"/>
          </w:tcPr>
          <w:p>
            <w:pPr>
              <w:adjustRightInd w:val="0"/>
              <w:spacing w:line="360" w:lineRule="auto"/>
              <w:jc w:val="center"/>
              <w:rPr>
                <w:rFonts w:ascii="宋体" w:hAnsi="宋体"/>
                <w:color w:val="FF0000"/>
                <w:spacing w:val="4"/>
                <w:kern w:val="30"/>
                <w:szCs w:val="21"/>
              </w:rPr>
            </w:pPr>
            <w:r>
              <w:rPr>
                <w:rFonts w:hint="eastAsia" w:ascii="宋体" w:hAnsi="宋体"/>
                <w:color w:val="FF0000"/>
                <w:spacing w:val="4"/>
                <w:kern w:val="30"/>
                <w:szCs w:val="21"/>
                <w:lang w:val="en-US" w:eastAsia="zh-CN"/>
              </w:rPr>
              <w:t>5.0</w:t>
            </w:r>
            <w:r>
              <w:rPr>
                <w:rFonts w:hint="eastAsia" w:ascii="宋体" w:hAnsi="宋体"/>
                <w:color w:val="FF0000"/>
                <w:spacing w:val="4"/>
                <w:kern w:val="3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设计速度:</w:t>
            </w:r>
          </w:p>
        </w:tc>
        <w:tc>
          <w:tcPr>
            <w:tcW w:w="2028" w:type="dxa"/>
            <w:tcBorders>
              <w:top w:val="single" w:color="auto" w:sz="4" w:space="0"/>
              <w:left w:val="single" w:color="auto" w:sz="4" w:space="0"/>
              <w:bottom w:val="single" w:color="auto" w:sz="4" w:space="0"/>
              <w:right w:val="single" w:color="auto" w:sz="2"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15公里/小时</w:t>
            </w:r>
          </w:p>
        </w:tc>
        <w:tc>
          <w:tcPr>
            <w:tcW w:w="3507" w:type="dxa"/>
            <w:tcBorders>
              <w:top w:val="single" w:color="auto" w:sz="4" w:space="0"/>
              <w:left w:val="single" w:color="auto" w:sz="2"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行车道宽度：</w:t>
            </w:r>
          </w:p>
        </w:tc>
        <w:tc>
          <w:tcPr>
            <w:tcW w:w="1559" w:type="dxa"/>
            <w:tcBorders>
              <w:top w:val="single" w:color="auto" w:sz="4" w:space="0"/>
              <w:left w:val="single" w:color="auto" w:sz="4" w:space="0"/>
              <w:bottom w:val="single" w:color="auto" w:sz="4" w:space="0"/>
              <w:right w:val="single" w:color="auto" w:sz="18" w:space="0"/>
            </w:tcBorders>
            <w:vAlign w:val="center"/>
          </w:tcPr>
          <w:p>
            <w:pPr>
              <w:adjustRightInd w:val="0"/>
              <w:spacing w:line="360" w:lineRule="auto"/>
              <w:jc w:val="center"/>
              <w:rPr>
                <w:rFonts w:ascii="宋体" w:hAnsi="宋体"/>
                <w:color w:val="FF0000"/>
                <w:spacing w:val="4"/>
                <w:kern w:val="30"/>
                <w:szCs w:val="21"/>
              </w:rPr>
            </w:pPr>
            <w:r>
              <w:rPr>
                <w:rFonts w:hint="eastAsia" w:ascii="宋体" w:hAnsi="宋体"/>
                <w:color w:val="FF0000"/>
                <w:spacing w:val="4"/>
                <w:kern w:val="30"/>
                <w:szCs w:val="21"/>
              </w:rPr>
              <w:t>1×</w:t>
            </w:r>
            <w:r>
              <w:rPr>
                <w:rFonts w:hint="eastAsia" w:ascii="宋体" w:hAnsi="宋体"/>
                <w:color w:val="FF0000"/>
                <w:spacing w:val="4"/>
                <w:kern w:val="30"/>
                <w:szCs w:val="21"/>
                <w:lang w:val="en-US" w:eastAsia="zh-CN"/>
              </w:rPr>
              <w:t>4.5</w:t>
            </w:r>
            <w:r>
              <w:rPr>
                <w:rFonts w:hint="eastAsia" w:ascii="宋体" w:hAnsi="宋体"/>
                <w:color w:val="FF0000"/>
                <w:spacing w:val="4"/>
                <w:kern w:val="3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路面宽度:</w:t>
            </w:r>
          </w:p>
        </w:tc>
        <w:tc>
          <w:tcPr>
            <w:tcW w:w="2028" w:type="dxa"/>
            <w:tcBorders>
              <w:top w:val="single" w:color="auto" w:sz="4" w:space="0"/>
              <w:left w:val="single" w:color="auto" w:sz="4" w:space="0"/>
              <w:bottom w:val="single" w:color="auto" w:sz="4" w:space="0"/>
              <w:right w:val="single" w:color="auto" w:sz="2" w:space="0"/>
            </w:tcBorders>
            <w:vAlign w:val="center"/>
          </w:tcPr>
          <w:p>
            <w:pPr>
              <w:adjustRightInd w:val="0"/>
              <w:spacing w:line="360" w:lineRule="auto"/>
              <w:jc w:val="center"/>
              <w:rPr>
                <w:rFonts w:ascii="宋体" w:hAnsi="宋体"/>
                <w:color w:val="FF0000"/>
                <w:spacing w:val="4"/>
                <w:kern w:val="30"/>
                <w:szCs w:val="21"/>
              </w:rPr>
            </w:pPr>
            <w:r>
              <w:rPr>
                <w:rFonts w:hint="eastAsia" w:ascii="宋体" w:hAnsi="宋体"/>
                <w:color w:val="FF0000"/>
                <w:spacing w:val="4"/>
                <w:kern w:val="30"/>
                <w:szCs w:val="21"/>
                <w:lang w:val="en-US" w:eastAsia="zh-CN"/>
              </w:rPr>
              <w:t>4.5</w:t>
            </w:r>
            <w:r>
              <w:rPr>
                <w:rFonts w:hint="eastAsia" w:ascii="宋体" w:hAnsi="宋体"/>
                <w:color w:val="FF0000"/>
                <w:spacing w:val="4"/>
                <w:kern w:val="30"/>
                <w:szCs w:val="21"/>
              </w:rPr>
              <w:t>m</w:t>
            </w:r>
          </w:p>
        </w:tc>
        <w:tc>
          <w:tcPr>
            <w:tcW w:w="3507" w:type="dxa"/>
            <w:tcBorders>
              <w:top w:val="single" w:color="auto" w:sz="4" w:space="0"/>
              <w:left w:val="single" w:color="auto" w:sz="2"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土路肩宽度：</w:t>
            </w:r>
          </w:p>
        </w:tc>
        <w:tc>
          <w:tcPr>
            <w:tcW w:w="1559" w:type="dxa"/>
            <w:tcBorders>
              <w:top w:val="single" w:color="auto" w:sz="4" w:space="0"/>
              <w:left w:val="single" w:color="auto" w:sz="4" w:space="0"/>
              <w:bottom w:val="single" w:color="auto" w:sz="4" w:space="0"/>
              <w:right w:val="single" w:color="auto" w:sz="18" w:space="0"/>
            </w:tcBorders>
            <w:vAlign w:val="center"/>
          </w:tcPr>
          <w:p>
            <w:pPr>
              <w:adjustRightInd w:val="0"/>
              <w:spacing w:line="360" w:lineRule="auto"/>
              <w:jc w:val="center"/>
              <w:rPr>
                <w:rFonts w:ascii="宋体" w:hAnsi="宋体"/>
                <w:color w:val="FF0000"/>
                <w:spacing w:val="4"/>
                <w:kern w:val="30"/>
                <w:szCs w:val="21"/>
              </w:rPr>
            </w:pPr>
            <w:r>
              <w:rPr>
                <w:rFonts w:hint="eastAsia" w:ascii="宋体" w:hAnsi="宋体"/>
                <w:color w:val="FF0000"/>
                <w:spacing w:val="4"/>
                <w:kern w:val="30"/>
                <w:szCs w:val="21"/>
              </w:rPr>
              <w:t>2×0.</w:t>
            </w:r>
            <w:r>
              <w:rPr>
                <w:rFonts w:ascii="宋体" w:hAnsi="宋体"/>
                <w:color w:val="FF0000"/>
                <w:spacing w:val="4"/>
                <w:kern w:val="30"/>
                <w:szCs w:val="21"/>
              </w:rPr>
              <w:t>2</w:t>
            </w:r>
            <w:r>
              <w:rPr>
                <w:rFonts w:hint="eastAsia" w:ascii="宋体" w:hAnsi="宋体"/>
                <w:color w:val="FF0000"/>
                <w:spacing w:val="4"/>
                <w:kern w:val="30"/>
                <w:szCs w:val="21"/>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路面横坡:</w:t>
            </w:r>
          </w:p>
        </w:tc>
        <w:tc>
          <w:tcPr>
            <w:tcW w:w="2028" w:type="dxa"/>
            <w:tcBorders>
              <w:top w:val="single" w:color="auto" w:sz="4" w:space="0"/>
              <w:left w:val="single" w:color="auto" w:sz="4" w:space="0"/>
              <w:bottom w:val="single" w:color="auto" w:sz="4" w:space="0"/>
              <w:right w:val="single" w:color="auto" w:sz="2"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1.0%（单向）</w:t>
            </w:r>
          </w:p>
        </w:tc>
        <w:tc>
          <w:tcPr>
            <w:tcW w:w="3507" w:type="dxa"/>
            <w:tcBorders>
              <w:top w:val="single" w:color="auto" w:sz="4" w:space="0"/>
              <w:left w:val="single" w:color="auto" w:sz="2"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土路肩横坡：</w:t>
            </w:r>
          </w:p>
        </w:tc>
        <w:tc>
          <w:tcPr>
            <w:tcW w:w="1559" w:type="dxa"/>
            <w:tcBorders>
              <w:top w:val="single" w:color="auto" w:sz="4" w:space="0"/>
              <w:left w:val="single" w:color="auto" w:sz="4" w:space="0"/>
              <w:bottom w:val="single" w:color="auto" w:sz="4" w:space="0"/>
              <w:right w:val="single" w:color="auto" w:sz="18" w:space="0"/>
            </w:tcBorders>
            <w:vAlign w:val="center"/>
          </w:tcPr>
          <w:p>
            <w:pPr>
              <w:adjustRightInd w:val="0"/>
              <w:spacing w:line="360" w:lineRule="auto"/>
              <w:jc w:val="center"/>
              <w:rPr>
                <w:rFonts w:ascii="宋体" w:hAnsi="宋体"/>
                <w:color w:val="FF0000"/>
                <w:spacing w:val="4"/>
                <w:kern w:val="30"/>
                <w:szCs w:val="21"/>
              </w:rPr>
            </w:pPr>
            <w:r>
              <w:rPr>
                <w:rFonts w:hint="eastAsia" w:ascii="宋体" w:hAnsi="宋体"/>
                <w:color w:val="FF0000"/>
                <w:spacing w:val="4"/>
                <w:kern w:val="30"/>
                <w:szCs w:val="21"/>
              </w:rPr>
              <w:t>2.5%</w:t>
            </w:r>
            <w:r>
              <w:rPr>
                <w:rFonts w:hint="eastAsia" w:ascii="宋体" w:hAnsi="宋体"/>
                <w:color w:val="FF0000"/>
                <w:spacing w:val="4"/>
                <w:szCs w:val="21"/>
              </w:rPr>
              <w:t>（双向）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路面结构类型：</w:t>
            </w:r>
          </w:p>
        </w:tc>
        <w:tc>
          <w:tcPr>
            <w:tcW w:w="2028" w:type="dxa"/>
            <w:tcBorders>
              <w:top w:val="single" w:color="auto" w:sz="4" w:space="0"/>
              <w:left w:val="single" w:color="auto" w:sz="4" w:space="0"/>
              <w:bottom w:val="single" w:color="auto" w:sz="2" w:space="0"/>
              <w:right w:val="single" w:color="auto" w:sz="2"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水泥混凝土路面</w:t>
            </w:r>
          </w:p>
        </w:tc>
        <w:tc>
          <w:tcPr>
            <w:tcW w:w="3507" w:type="dxa"/>
            <w:vMerge w:val="restart"/>
            <w:tcBorders>
              <w:top w:val="single" w:color="auto" w:sz="4" w:space="0"/>
              <w:left w:val="single" w:color="auto" w:sz="2" w:space="0"/>
              <w:bottom w:val="single" w:color="auto" w:sz="18"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设计基准期内设计车道承受设计轴载(100KN)累积作用次数Ne(10</w:t>
            </w:r>
            <w:r>
              <w:rPr>
                <w:rFonts w:hint="eastAsia" w:ascii="宋体" w:hAnsi="宋体"/>
                <w:spacing w:val="4"/>
                <w:kern w:val="30"/>
                <w:szCs w:val="21"/>
                <w:vertAlign w:val="superscript"/>
              </w:rPr>
              <w:t>4</w:t>
            </w:r>
            <w:r>
              <w:rPr>
                <w:rFonts w:hint="eastAsia" w:ascii="宋体" w:hAnsi="宋体"/>
                <w:spacing w:val="4"/>
                <w:kern w:val="30"/>
                <w:szCs w:val="21"/>
              </w:rPr>
              <w:t>)：</w:t>
            </w:r>
          </w:p>
        </w:tc>
        <w:tc>
          <w:tcPr>
            <w:tcW w:w="1559" w:type="dxa"/>
            <w:vMerge w:val="restart"/>
            <w:tcBorders>
              <w:top w:val="single" w:color="auto" w:sz="4" w:space="0"/>
              <w:left w:val="single" w:color="auto" w:sz="4" w:space="0"/>
              <w:bottom w:val="single" w:color="auto" w:sz="18" w:space="0"/>
              <w:right w:val="single" w:color="auto" w:sz="18"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18" w:space="0"/>
              <w:right w:val="single" w:color="auto" w:sz="4" w:space="0"/>
            </w:tcBorders>
            <w:vAlign w:val="center"/>
          </w:tcPr>
          <w:p>
            <w:pPr>
              <w:adjustRightInd w:val="0"/>
              <w:spacing w:line="360" w:lineRule="auto"/>
              <w:jc w:val="center"/>
              <w:rPr>
                <w:rFonts w:ascii="宋体" w:hAnsi="宋体"/>
                <w:spacing w:val="4"/>
                <w:kern w:val="30"/>
                <w:szCs w:val="21"/>
              </w:rPr>
            </w:pPr>
            <w:r>
              <w:rPr>
                <w:rFonts w:hint="eastAsia" w:ascii="宋体" w:hAnsi="宋体"/>
                <w:spacing w:val="4"/>
                <w:kern w:val="30"/>
                <w:szCs w:val="21"/>
              </w:rPr>
              <w:t>水泥混凝土的弯拉强度标准值：</w:t>
            </w:r>
          </w:p>
        </w:tc>
        <w:tc>
          <w:tcPr>
            <w:tcW w:w="2028" w:type="dxa"/>
            <w:tcBorders>
              <w:top w:val="single" w:color="auto" w:sz="2" w:space="0"/>
              <w:left w:val="single" w:color="auto" w:sz="4" w:space="0"/>
              <w:bottom w:val="single" w:color="auto" w:sz="18" w:space="0"/>
              <w:right w:val="single" w:color="auto" w:sz="2" w:space="0"/>
            </w:tcBorders>
            <w:vAlign w:val="center"/>
          </w:tcPr>
          <w:p>
            <w:pPr>
              <w:adjustRightInd w:val="0"/>
              <w:spacing w:line="360" w:lineRule="auto"/>
              <w:jc w:val="center"/>
              <w:rPr>
                <w:rFonts w:ascii="宋体" w:hAnsi="宋体"/>
                <w:spacing w:val="4"/>
                <w:kern w:val="30"/>
                <w:sz w:val="24"/>
              </w:rPr>
            </w:pPr>
            <w:r>
              <w:rPr>
                <w:rFonts w:hint="eastAsia" w:ascii="宋体" w:hAnsi="宋体"/>
                <w:bCs/>
                <w:spacing w:val="4"/>
                <w:sz w:val="24"/>
              </w:rPr>
              <w:t>≥4.0(MPa)</w:t>
            </w:r>
          </w:p>
        </w:tc>
        <w:tc>
          <w:tcPr>
            <w:tcW w:w="3507" w:type="dxa"/>
            <w:vMerge w:val="continue"/>
            <w:tcBorders>
              <w:top w:val="single" w:color="auto" w:sz="4" w:space="0"/>
              <w:left w:val="single" w:color="auto" w:sz="2" w:space="0"/>
              <w:bottom w:val="single" w:color="auto" w:sz="18" w:space="0"/>
              <w:right w:val="single" w:color="auto" w:sz="4" w:space="0"/>
            </w:tcBorders>
            <w:vAlign w:val="center"/>
          </w:tcPr>
          <w:p>
            <w:pPr>
              <w:widowControl/>
              <w:adjustRightInd w:val="0"/>
              <w:spacing w:line="360" w:lineRule="auto"/>
              <w:jc w:val="center"/>
              <w:rPr>
                <w:rFonts w:ascii="宋体" w:hAnsi="宋体"/>
                <w:spacing w:val="4"/>
                <w:kern w:val="30"/>
                <w:sz w:val="24"/>
              </w:rPr>
            </w:pPr>
          </w:p>
        </w:tc>
        <w:tc>
          <w:tcPr>
            <w:tcW w:w="1559" w:type="dxa"/>
            <w:vMerge w:val="continue"/>
            <w:tcBorders>
              <w:top w:val="single" w:color="auto" w:sz="4" w:space="0"/>
              <w:left w:val="single" w:color="auto" w:sz="4" w:space="0"/>
              <w:bottom w:val="single" w:color="auto" w:sz="18" w:space="0"/>
              <w:right w:val="single" w:color="auto" w:sz="18" w:space="0"/>
            </w:tcBorders>
            <w:vAlign w:val="center"/>
          </w:tcPr>
          <w:p>
            <w:pPr>
              <w:widowControl/>
              <w:adjustRightInd w:val="0"/>
              <w:spacing w:line="360" w:lineRule="auto"/>
              <w:jc w:val="center"/>
              <w:rPr>
                <w:rFonts w:ascii="宋体" w:hAnsi="宋体"/>
                <w:spacing w:val="4"/>
                <w:kern w:val="30"/>
                <w:sz w:val="24"/>
              </w:rPr>
            </w:pPr>
          </w:p>
        </w:tc>
      </w:tr>
    </w:tbl>
    <w:p>
      <w:pPr>
        <w:adjustRightInd w:val="0"/>
        <w:spacing w:line="100" w:lineRule="exact"/>
        <w:ind w:firstLine="498" w:firstLineChars="200"/>
        <w:rPr>
          <w:rFonts w:ascii="宋体" w:hAnsi="宋体"/>
          <w:b/>
          <w:spacing w:val="4"/>
          <w:kern w:val="30"/>
          <w:sz w:val="24"/>
        </w:rPr>
      </w:pPr>
    </w:p>
    <w:p>
      <w:pPr>
        <w:adjustRightInd w:val="0"/>
        <w:spacing w:line="360" w:lineRule="auto"/>
        <w:ind w:firstLine="496" w:firstLineChars="200"/>
        <w:rPr>
          <w:rFonts w:hint="eastAsia" w:ascii="宋体" w:hAnsi="宋体" w:eastAsia="宋体"/>
          <w:spacing w:val="4"/>
          <w:kern w:val="30"/>
          <w:sz w:val="24"/>
          <w:lang w:val="en-US" w:eastAsia="zh-CN"/>
        </w:rPr>
      </w:pPr>
      <w:r>
        <w:rPr>
          <w:rFonts w:hint="eastAsia" w:ascii="宋体" w:hAnsi="宋体"/>
          <w:spacing w:val="4"/>
          <w:kern w:val="30"/>
          <w:sz w:val="24"/>
        </w:rPr>
        <w:t>水泥路使用年限为10年</w:t>
      </w:r>
      <w:r>
        <w:rPr>
          <w:rFonts w:hint="eastAsia" w:ascii="宋体" w:hAnsi="宋体"/>
          <w:spacing w:val="4"/>
          <w:kern w:val="30"/>
          <w:sz w:val="24"/>
          <w:lang w:eastAsia="zh-CN"/>
        </w:rPr>
        <w:t>。</w:t>
      </w:r>
    </w:p>
    <w:p>
      <w:pPr>
        <w:adjustRightInd w:val="0"/>
        <w:spacing w:line="360" w:lineRule="auto"/>
        <w:ind w:firstLine="578" w:firstLineChars="200"/>
        <w:rPr>
          <w:rFonts w:ascii="宋体" w:hAnsi="宋体"/>
          <w:b/>
          <w:spacing w:val="4"/>
          <w:kern w:val="30"/>
          <w:sz w:val="28"/>
          <w:szCs w:val="28"/>
        </w:rPr>
      </w:pPr>
      <w:r>
        <w:rPr>
          <w:rFonts w:hint="eastAsia" w:ascii="宋体" w:hAnsi="宋体"/>
          <w:b/>
          <w:spacing w:val="4"/>
          <w:kern w:val="30"/>
          <w:sz w:val="28"/>
          <w:szCs w:val="28"/>
        </w:rPr>
        <w:t>1.4测设经过</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内业设计过程中，本着实事求是的原则，科学合理地采用技术指标，利用Card/1、纬地、CAD等国内外先进的软件进行设计。设计人员坚持“质量第一，诚实守信”的设计理念，严格按照质量管理目标，层层把关，确保设计质量。</w:t>
      </w:r>
    </w:p>
    <w:p>
      <w:pPr>
        <w:adjustRightInd w:val="0"/>
        <w:spacing w:line="360" w:lineRule="auto"/>
        <w:rPr>
          <w:rFonts w:ascii="宋体" w:hAnsi="宋体"/>
          <w:b/>
          <w:spacing w:val="4"/>
          <w:kern w:val="30"/>
          <w:sz w:val="28"/>
          <w:szCs w:val="28"/>
        </w:rPr>
      </w:pPr>
      <w:r>
        <w:rPr>
          <w:rFonts w:hint="eastAsia" w:ascii="宋体" w:hAnsi="宋体"/>
          <w:b/>
          <w:spacing w:val="4"/>
          <w:kern w:val="30"/>
          <w:sz w:val="28"/>
          <w:szCs w:val="28"/>
        </w:rPr>
        <w:t>二</w:t>
      </w:r>
      <w:r>
        <w:rPr>
          <w:rFonts w:hint="eastAsia" w:ascii="宋体" w:hAnsi="宋体"/>
          <w:b/>
          <w:spacing w:val="4"/>
          <w:sz w:val="28"/>
          <w:szCs w:val="28"/>
        </w:rPr>
        <w:t>.</w:t>
      </w:r>
      <w:r>
        <w:rPr>
          <w:rFonts w:hint="eastAsia" w:ascii="宋体" w:hAnsi="宋体"/>
          <w:b/>
          <w:spacing w:val="4"/>
          <w:kern w:val="30"/>
          <w:sz w:val="28"/>
          <w:szCs w:val="28"/>
        </w:rPr>
        <w:t>主要工程规模</w:t>
      </w:r>
    </w:p>
    <w:p>
      <w:pPr>
        <w:adjustRightInd w:val="0"/>
        <w:spacing w:line="360" w:lineRule="auto"/>
        <w:jc w:val="center"/>
        <w:rPr>
          <w:rFonts w:ascii="宋体" w:hAnsi="宋体"/>
          <w:spacing w:val="4"/>
          <w:kern w:val="30"/>
          <w:sz w:val="24"/>
        </w:rPr>
      </w:pPr>
      <w:r>
        <w:rPr>
          <w:rFonts w:hint="eastAsia" w:ascii="宋体" w:hAnsi="宋体"/>
          <w:spacing w:val="4"/>
          <w:kern w:val="30"/>
          <w:sz w:val="24"/>
        </w:rPr>
        <w:t>主 要 工 程 数 量</w:t>
      </w:r>
    </w:p>
    <w:tbl>
      <w:tblPr>
        <w:tblStyle w:val="6"/>
        <w:tblW w:w="95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4678"/>
        <w:gridCol w:w="1984"/>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18" w:space="0"/>
              <w:left w:val="single" w:color="auto" w:sz="18" w:space="0"/>
              <w:bottom w:val="single" w:color="auto" w:sz="4" w:space="0"/>
              <w:right w:val="single" w:color="auto" w:sz="4" w:space="0"/>
              <w:tl2br w:val="single" w:color="auto" w:sz="2" w:space="0"/>
            </w:tcBorders>
            <w:noWrap/>
            <w:vAlign w:val="bottom"/>
          </w:tcPr>
          <w:p>
            <w:pPr>
              <w:autoSpaceDE w:val="0"/>
              <w:autoSpaceDN w:val="0"/>
              <w:adjustRightInd w:val="0"/>
              <w:spacing w:line="240" w:lineRule="atLeast"/>
              <w:jc w:val="right"/>
              <w:rPr>
                <w:rFonts w:ascii="宋体" w:cs="宋体"/>
                <w:color w:val="000000"/>
                <w:kern w:val="0"/>
                <w:szCs w:val="21"/>
              </w:rPr>
            </w:pPr>
            <w:r>
              <w:rPr>
                <w:rFonts w:hint="eastAsia" w:ascii="宋体" w:cs="宋体"/>
                <w:color w:val="000000"/>
                <w:kern w:val="0"/>
                <w:szCs w:val="21"/>
              </w:rPr>
              <w:t xml:space="preserve">内容  </w:t>
            </w:r>
          </w:p>
          <w:p>
            <w:pPr>
              <w:autoSpaceDE w:val="0"/>
              <w:autoSpaceDN w:val="0"/>
              <w:adjustRightInd w:val="0"/>
              <w:spacing w:line="240" w:lineRule="atLeast"/>
              <w:ind w:firstLine="105" w:firstLineChars="50"/>
              <w:jc w:val="left"/>
              <w:rPr>
                <w:rFonts w:ascii="宋体" w:cs="宋体"/>
                <w:color w:val="000000"/>
                <w:kern w:val="0"/>
                <w:szCs w:val="21"/>
              </w:rPr>
            </w:pPr>
            <w:r>
              <w:rPr>
                <w:rFonts w:hint="eastAsia" w:ascii="宋体" w:cs="宋体"/>
                <w:color w:val="000000"/>
                <w:kern w:val="0"/>
                <w:szCs w:val="21"/>
              </w:rPr>
              <w:t>编号</w:t>
            </w:r>
          </w:p>
        </w:tc>
        <w:tc>
          <w:tcPr>
            <w:tcW w:w="4678" w:type="dxa"/>
            <w:tcBorders>
              <w:top w:val="single" w:color="auto" w:sz="18"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项目</w:t>
            </w:r>
          </w:p>
        </w:tc>
        <w:tc>
          <w:tcPr>
            <w:tcW w:w="1984" w:type="dxa"/>
            <w:tcBorders>
              <w:top w:val="single" w:color="auto" w:sz="18"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单位</w:t>
            </w:r>
          </w:p>
        </w:tc>
        <w:tc>
          <w:tcPr>
            <w:tcW w:w="1804" w:type="dxa"/>
            <w:tcBorders>
              <w:top w:val="single" w:color="auto" w:sz="18" w:space="0"/>
              <w:left w:val="single" w:color="auto" w:sz="4" w:space="0"/>
              <w:bottom w:val="single" w:color="auto" w:sz="4" w:space="0"/>
              <w:right w:val="single" w:color="auto" w:sz="18" w:space="0"/>
            </w:tcBorders>
            <w:vAlign w:val="center"/>
          </w:tcPr>
          <w:p>
            <w:pPr>
              <w:autoSpaceDE w:val="0"/>
              <w:autoSpaceDN w:val="0"/>
              <w:adjustRightInd w:val="0"/>
              <w:spacing w:line="360" w:lineRule="auto"/>
              <w:jc w:val="center"/>
              <w:rPr>
                <w:rFonts w:ascii="宋体" w:cs="宋体"/>
                <w:color w:val="000000"/>
                <w:kern w:val="0"/>
                <w:szCs w:val="21"/>
                <w:highlight w:val="yellow"/>
              </w:rPr>
            </w:pPr>
            <w:r>
              <w:rPr>
                <w:rFonts w:hint="eastAsia" w:ascii="宋体" w:cs="宋体"/>
                <w:color w:val="000000"/>
                <w:kern w:val="0"/>
                <w:szCs w:val="21"/>
              </w:rPr>
              <w:t>工程量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18"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1</w:t>
            </w:r>
          </w:p>
        </w:tc>
        <w:tc>
          <w:tcPr>
            <w:tcW w:w="46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铺筑长度</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km</w:t>
            </w:r>
          </w:p>
        </w:tc>
        <w:tc>
          <w:tcPr>
            <w:tcW w:w="1804" w:type="dxa"/>
            <w:tcBorders>
              <w:top w:val="single" w:color="auto" w:sz="4" w:space="0"/>
              <w:left w:val="single" w:color="auto" w:sz="4" w:space="0"/>
              <w:bottom w:val="single" w:color="auto" w:sz="4" w:space="0"/>
              <w:right w:val="single" w:color="auto" w:sz="18" w:space="0"/>
            </w:tcBorders>
            <w:vAlign w:val="center"/>
          </w:tcPr>
          <w:p>
            <w:pPr>
              <w:autoSpaceDE w:val="0"/>
              <w:autoSpaceDN w:val="0"/>
              <w:adjustRightInd w:val="0"/>
              <w:spacing w:line="360" w:lineRule="auto"/>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1.289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18"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eastAsia="宋体" w:cs="宋体"/>
                <w:color w:val="000000"/>
                <w:kern w:val="0"/>
                <w:szCs w:val="21"/>
                <w:lang w:eastAsia="zh-CN"/>
              </w:rPr>
            </w:pPr>
            <w:r>
              <w:rPr>
                <w:rFonts w:hint="eastAsia" w:ascii="宋体" w:cs="宋体"/>
                <w:color w:val="000000"/>
                <w:kern w:val="0"/>
                <w:szCs w:val="21"/>
                <w:lang w:val="en-US" w:eastAsia="zh-CN"/>
              </w:rPr>
              <w:t>2</w:t>
            </w:r>
          </w:p>
        </w:tc>
        <w:tc>
          <w:tcPr>
            <w:tcW w:w="46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default" w:ascii="宋体" w:eastAsia="宋体" w:cs="宋体"/>
                <w:color w:val="000000"/>
                <w:kern w:val="0"/>
                <w:szCs w:val="21"/>
                <w:lang w:val="en-US" w:eastAsia="zh-CN"/>
              </w:rPr>
            </w:pPr>
            <w:r>
              <w:rPr>
                <w:rFonts w:hint="eastAsia" w:ascii="宋体" w:cs="宋体"/>
                <w:color w:val="000000"/>
                <w:kern w:val="0"/>
                <w:szCs w:val="21"/>
              </w:rPr>
              <w:t>20厘米水泥混凝土面层</w:t>
            </w:r>
            <w:r>
              <w:rPr>
                <w:rFonts w:hint="eastAsia" w:ascii="宋体" w:cs="宋体"/>
                <w:color w:val="000000"/>
                <w:kern w:val="0"/>
                <w:szCs w:val="21"/>
                <w:lang w:val="en-US" w:eastAsia="zh-CN"/>
              </w:rPr>
              <w:t>(不含平面交叉)</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km</w:t>
            </w:r>
            <w:r>
              <w:rPr>
                <w:rFonts w:hint="eastAsia" w:ascii="宋体" w:cs="宋体"/>
                <w:color w:val="000000"/>
                <w:kern w:val="0"/>
                <w:szCs w:val="21"/>
                <w:vertAlign w:val="superscript"/>
              </w:rPr>
              <w:t>2</w:t>
            </w:r>
          </w:p>
        </w:tc>
        <w:tc>
          <w:tcPr>
            <w:tcW w:w="1804" w:type="dxa"/>
            <w:tcBorders>
              <w:top w:val="single" w:color="auto" w:sz="4" w:space="0"/>
              <w:left w:val="single" w:color="auto" w:sz="4" w:space="0"/>
              <w:bottom w:val="single" w:color="auto" w:sz="4" w:space="0"/>
              <w:right w:val="single" w:color="auto" w:sz="18" w:space="0"/>
            </w:tcBorders>
            <w:vAlign w:val="center"/>
          </w:tcPr>
          <w:p>
            <w:pPr>
              <w:autoSpaceDE w:val="0"/>
              <w:autoSpaceDN w:val="0"/>
              <w:adjustRightInd w:val="0"/>
              <w:spacing w:line="360" w:lineRule="auto"/>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5.799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18"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eastAsia="宋体" w:cs="宋体"/>
                <w:color w:val="000000"/>
                <w:kern w:val="0"/>
                <w:szCs w:val="21"/>
                <w:lang w:eastAsia="zh-CN"/>
              </w:rPr>
            </w:pPr>
            <w:r>
              <w:rPr>
                <w:rFonts w:hint="eastAsia" w:ascii="宋体" w:cs="宋体"/>
                <w:color w:val="000000"/>
                <w:kern w:val="0"/>
                <w:szCs w:val="21"/>
                <w:lang w:val="en-US" w:eastAsia="zh-CN"/>
              </w:rPr>
              <w:t>3</w:t>
            </w:r>
          </w:p>
        </w:tc>
        <w:tc>
          <w:tcPr>
            <w:tcW w:w="46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lang w:eastAsia="zh-CN"/>
              </w:rPr>
              <w:t>15厘米级配碎石</w:t>
            </w:r>
            <w:r>
              <w:rPr>
                <w:rFonts w:hint="eastAsia" w:ascii="宋体" w:cs="宋体"/>
                <w:color w:val="000000"/>
                <w:kern w:val="0"/>
                <w:szCs w:val="21"/>
              </w:rPr>
              <w:t>（山皮石）基层</w:t>
            </w:r>
            <w:r>
              <w:rPr>
                <w:rFonts w:hint="eastAsia" w:ascii="宋体" w:cs="宋体"/>
                <w:color w:val="000000"/>
                <w:kern w:val="0"/>
                <w:szCs w:val="21"/>
                <w:lang w:val="en-US" w:eastAsia="zh-CN"/>
              </w:rPr>
              <w:t>(不含平面交叉)</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km</w:t>
            </w:r>
            <w:r>
              <w:rPr>
                <w:rFonts w:hint="eastAsia" w:ascii="宋体" w:cs="宋体"/>
                <w:color w:val="000000"/>
                <w:kern w:val="0"/>
                <w:szCs w:val="21"/>
                <w:vertAlign w:val="superscript"/>
              </w:rPr>
              <w:t>2</w:t>
            </w:r>
          </w:p>
        </w:tc>
        <w:tc>
          <w:tcPr>
            <w:tcW w:w="1804" w:type="dxa"/>
            <w:tcBorders>
              <w:top w:val="single" w:color="auto" w:sz="4" w:space="0"/>
              <w:left w:val="single" w:color="auto" w:sz="4" w:space="0"/>
              <w:bottom w:val="single" w:color="auto" w:sz="4" w:space="0"/>
              <w:right w:val="single" w:color="auto" w:sz="18" w:space="0"/>
            </w:tcBorders>
            <w:vAlign w:val="center"/>
          </w:tcPr>
          <w:p>
            <w:pPr>
              <w:autoSpaceDE w:val="0"/>
              <w:autoSpaceDN w:val="0"/>
              <w:adjustRightInd w:val="0"/>
              <w:spacing w:line="360" w:lineRule="auto"/>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6.443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18"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eastAsia="宋体" w:cs="宋体"/>
                <w:color w:val="000000"/>
                <w:kern w:val="0"/>
                <w:szCs w:val="21"/>
                <w:lang w:eastAsia="zh-CN"/>
              </w:rPr>
            </w:pPr>
            <w:r>
              <w:rPr>
                <w:rFonts w:hint="eastAsia" w:ascii="宋体" w:cs="宋体"/>
                <w:color w:val="000000"/>
                <w:kern w:val="0"/>
                <w:szCs w:val="21"/>
                <w:lang w:val="en-US" w:eastAsia="zh-CN"/>
              </w:rPr>
              <w:t>4</w:t>
            </w:r>
          </w:p>
        </w:tc>
        <w:tc>
          <w:tcPr>
            <w:tcW w:w="46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eastAsia="宋体" w:cs="宋体"/>
                <w:color w:val="000000"/>
                <w:kern w:val="0"/>
                <w:szCs w:val="21"/>
                <w:lang w:eastAsia="zh-CN"/>
              </w:rPr>
            </w:pPr>
            <w:r>
              <w:rPr>
                <w:rFonts w:hint="eastAsia" w:ascii="宋体" w:cs="宋体"/>
                <w:color w:val="000000"/>
                <w:kern w:val="0"/>
                <w:szCs w:val="21"/>
              </w:rPr>
              <w:t>钢筋混凝土圆管涵</w:t>
            </w:r>
            <w:r>
              <w:rPr>
                <w:rFonts w:hint="eastAsia" w:ascii="宋体" w:cs="宋体"/>
                <w:color w:val="000000"/>
                <w:kern w:val="0"/>
                <w:szCs w:val="21"/>
                <w:lang w:eastAsia="zh-CN"/>
              </w:rPr>
              <w:t>（</w:t>
            </w:r>
            <w:r>
              <w:rPr>
                <w:rFonts w:hint="eastAsia" w:ascii="宋体" w:cs="宋体"/>
                <w:color w:val="000000"/>
                <w:kern w:val="0"/>
                <w:szCs w:val="21"/>
                <w:lang w:val="en-US" w:eastAsia="zh-CN"/>
              </w:rPr>
              <w:t>一字墙</w:t>
            </w:r>
            <w:r>
              <w:rPr>
                <w:rFonts w:hint="eastAsia" w:ascii="宋体" w:cs="宋体"/>
                <w:color w:val="000000"/>
                <w:kern w:val="0"/>
                <w:szCs w:val="21"/>
                <w:lang w:eastAsia="zh-CN"/>
              </w:rPr>
              <w:t>）</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cs="宋体"/>
                <w:color w:val="000000"/>
                <w:kern w:val="0"/>
                <w:szCs w:val="21"/>
              </w:rPr>
            </w:pPr>
            <w:r>
              <w:rPr>
                <w:rFonts w:hint="eastAsia" w:ascii="宋体" w:cs="宋体"/>
                <w:color w:val="000000"/>
                <w:kern w:val="0"/>
                <w:szCs w:val="21"/>
              </w:rPr>
              <w:t>道/米</w:t>
            </w:r>
          </w:p>
        </w:tc>
        <w:tc>
          <w:tcPr>
            <w:tcW w:w="1804" w:type="dxa"/>
            <w:tcBorders>
              <w:top w:val="single" w:color="auto" w:sz="4" w:space="0"/>
              <w:left w:val="single" w:color="auto" w:sz="4" w:space="0"/>
              <w:bottom w:val="single" w:color="auto" w:sz="4" w:space="0"/>
              <w:right w:val="single" w:color="auto" w:sz="18" w:space="0"/>
            </w:tcBorders>
            <w:vAlign w:val="center"/>
          </w:tcPr>
          <w:p>
            <w:pPr>
              <w:autoSpaceDE w:val="0"/>
              <w:autoSpaceDN w:val="0"/>
              <w:adjustRightInd w:val="0"/>
              <w:spacing w:line="360" w:lineRule="auto"/>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3</w:t>
            </w:r>
            <w:r>
              <w:rPr>
                <w:rFonts w:ascii="宋体" w:cs="宋体"/>
                <w:color w:val="000000"/>
                <w:kern w:val="0"/>
                <w:szCs w:val="21"/>
              </w:rPr>
              <w:t>/</w:t>
            </w:r>
            <w:r>
              <w:rPr>
                <w:rFonts w:hint="eastAsia" w:ascii="宋体" w:cs="宋体"/>
                <w:color w:val="000000"/>
                <w:kern w:val="0"/>
                <w:szCs w:val="21"/>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18" w:space="0"/>
              <w:bottom w:val="single" w:color="auto" w:sz="4" w:space="0"/>
              <w:right w:val="single" w:color="auto" w:sz="4" w:space="0"/>
            </w:tcBorders>
            <w:vAlign w:val="center"/>
          </w:tcPr>
          <w:p>
            <w:pPr>
              <w:autoSpaceDE w:val="0"/>
              <w:autoSpaceDN w:val="0"/>
              <w:adjustRightInd w:val="0"/>
              <w:spacing w:line="360" w:lineRule="auto"/>
              <w:jc w:val="center"/>
              <w:rPr>
                <w:rFonts w:hint="default" w:ascii="宋体" w:cs="宋体"/>
                <w:color w:val="000000"/>
                <w:kern w:val="0"/>
                <w:szCs w:val="21"/>
                <w:lang w:val="en-US" w:eastAsia="zh-CN"/>
              </w:rPr>
            </w:pPr>
            <w:r>
              <w:rPr>
                <w:rFonts w:hint="eastAsia" w:ascii="宋体" w:cs="宋体"/>
                <w:color w:val="000000"/>
                <w:kern w:val="0"/>
                <w:szCs w:val="21"/>
                <w:lang w:val="en-US" w:eastAsia="zh-CN"/>
              </w:rPr>
              <w:t>5</w:t>
            </w:r>
          </w:p>
        </w:tc>
        <w:tc>
          <w:tcPr>
            <w:tcW w:w="46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浆砌石挡墙</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eastAsia="宋体" w:cs="宋体"/>
                <w:color w:val="000000"/>
                <w:kern w:val="0"/>
                <w:szCs w:val="21"/>
                <w:lang w:val="en-US" w:eastAsia="zh-CN"/>
              </w:rPr>
            </w:pPr>
            <w:r>
              <w:rPr>
                <w:rFonts w:hint="eastAsia" w:ascii="宋体" w:cs="宋体"/>
                <w:color w:val="000000"/>
                <w:kern w:val="0"/>
                <w:szCs w:val="21"/>
                <w:lang w:val="en-US" w:eastAsia="zh-CN"/>
              </w:rPr>
              <w:t>m</w:t>
            </w:r>
          </w:p>
        </w:tc>
        <w:tc>
          <w:tcPr>
            <w:tcW w:w="1804" w:type="dxa"/>
            <w:tcBorders>
              <w:top w:val="single" w:color="auto" w:sz="4" w:space="0"/>
              <w:left w:val="single" w:color="auto" w:sz="4" w:space="0"/>
              <w:bottom w:val="single" w:color="auto" w:sz="4" w:space="0"/>
              <w:right w:val="single" w:color="auto" w:sz="18" w:space="0"/>
            </w:tcBorders>
            <w:vAlign w:val="center"/>
          </w:tcPr>
          <w:p>
            <w:pPr>
              <w:autoSpaceDE w:val="0"/>
              <w:autoSpaceDN w:val="0"/>
              <w:adjustRightInd w:val="0"/>
              <w:spacing w:line="360" w:lineRule="auto"/>
              <w:jc w:val="center"/>
              <w:rPr>
                <w:rFonts w:hint="default" w:ascii="宋体" w:cs="宋体"/>
                <w:color w:val="000000"/>
                <w:kern w:val="0"/>
                <w:szCs w:val="21"/>
                <w:lang w:val="en-US" w:eastAsia="zh-CN"/>
              </w:rPr>
            </w:pPr>
            <w:r>
              <w:rPr>
                <w:rFonts w:hint="eastAsia" w:ascii="宋体" w:cs="宋体"/>
                <w:color w:val="000000"/>
                <w:kern w:val="0"/>
                <w:szCs w:val="21"/>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18" w:space="0"/>
              <w:bottom w:val="single" w:color="auto" w:sz="18" w:space="0"/>
              <w:right w:val="single" w:color="auto" w:sz="4" w:space="0"/>
            </w:tcBorders>
            <w:vAlign w:val="center"/>
          </w:tcPr>
          <w:p>
            <w:pPr>
              <w:autoSpaceDE w:val="0"/>
              <w:autoSpaceDN w:val="0"/>
              <w:adjustRightInd w:val="0"/>
              <w:spacing w:line="360" w:lineRule="auto"/>
              <w:jc w:val="center"/>
              <w:rPr>
                <w:rFonts w:hint="default" w:ascii="宋体" w:cs="宋体"/>
                <w:color w:val="000000"/>
                <w:kern w:val="0"/>
                <w:szCs w:val="21"/>
                <w:lang w:val="en-US" w:eastAsia="zh-CN"/>
              </w:rPr>
            </w:pPr>
            <w:r>
              <w:rPr>
                <w:rFonts w:hint="eastAsia" w:ascii="宋体" w:cs="宋体"/>
                <w:color w:val="000000"/>
                <w:kern w:val="0"/>
                <w:szCs w:val="21"/>
                <w:lang w:val="en-US" w:eastAsia="zh-CN"/>
              </w:rPr>
              <w:t>6</w:t>
            </w:r>
          </w:p>
        </w:tc>
        <w:tc>
          <w:tcPr>
            <w:tcW w:w="4678" w:type="dxa"/>
            <w:tcBorders>
              <w:top w:val="single" w:color="auto" w:sz="4" w:space="0"/>
              <w:left w:val="single" w:color="auto" w:sz="4" w:space="0"/>
              <w:bottom w:val="single" w:color="auto" w:sz="18" w:space="0"/>
              <w:right w:val="single" w:color="auto" w:sz="4" w:space="0"/>
            </w:tcBorders>
            <w:vAlign w:val="center"/>
          </w:tcPr>
          <w:p>
            <w:pPr>
              <w:autoSpaceDE w:val="0"/>
              <w:autoSpaceDN w:val="0"/>
              <w:adjustRightInd w:val="0"/>
              <w:spacing w:line="360" w:lineRule="auto"/>
              <w:jc w:val="center"/>
              <w:rPr>
                <w:rFonts w:hint="default" w:ascii="宋体" w:cs="宋体"/>
                <w:color w:val="000000"/>
                <w:kern w:val="0"/>
                <w:szCs w:val="21"/>
                <w:lang w:val="en-US" w:eastAsia="zh-CN"/>
              </w:rPr>
            </w:pPr>
            <w:r>
              <w:rPr>
                <w:rFonts w:hint="eastAsia" w:ascii="宋体" w:cs="宋体"/>
                <w:color w:val="000000"/>
                <w:kern w:val="0"/>
                <w:szCs w:val="21"/>
                <w:lang w:val="en-US" w:eastAsia="zh-CN"/>
              </w:rPr>
              <w:t>0.8x0.8m混凝土边沟</w:t>
            </w:r>
          </w:p>
        </w:tc>
        <w:tc>
          <w:tcPr>
            <w:tcW w:w="1984" w:type="dxa"/>
            <w:tcBorders>
              <w:top w:val="single" w:color="auto" w:sz="4" w:space="0"/>
              <w:left w:val="single" w:color="auto" w:sz="4" w:space="0"/>
              <w:bottom w:val="single" w:color="auto" w:sz="18" w:space="0"/>
              <w:right w:val="single" w:color="auto" w:sz="4" w:space="0"/>
            </w:tcBorders>
            <w:vAlign w:val="center"/>
          </w:tcPr>
          <w:p>
            <w:pPr>
              <w:autoSpaceDE w:val="0"/>
              <w:autoSpaceDN w:val="0"/>
              <w:adjustRightInd w:val="0"/>
              <w:spacing w:line="360" w:lineRule="auto"/>
              <w:jc w:val="center"/>
              <w:rPr>
                <w:rFonts w:hint="default" w:ascii="宋体" w:cs="宋体"/>
                <w:color w:val="000000"/>
                <w:kern w:val="0"/>
                <w:szCs w:val="21"/>
                <w:lang w:val="en-US" w:eastAsia="zh-CN"/>
              </w:rPr>
            </w:pPr>
            <w:r>
              <w:rPr>
                <w:rFonts w:hint="eastAsia" w:ascii="宋体" w:cs="宋体"/>
                <w:color w:val="000000"/>
                <w:kern w:val="0"/>
                <w:szCs w:val="21"/>
                <w:lang w:val="en-US" w:eastAsia="zh-CN"/>
              </w:rPr>
              <w:t>m</w:t>
            </w:r>
          </w:p>
        </w:tc>
        <w:tc>
          <w:tcPr>
            <w:tcW w:w="1804" w:type="dxa"/>
            <w:tcBorders>
              <w:top w:val="single" w:color="auto" w:sz="4" w:space="0"/>
              <w:left w:val="single" w:color="auto" w:sz="4" w:space="0"/>
              <w:bottom w:val="single" w:color="auto" w:sz="18" w:space="0"/>
              <w:right w:val="single" w:color="auto" w:sz="18" w:space="0"/>
            </w:tcBorders>
            <w:vAlign w:val="center"/>
          </w:tcPr>
          <w:p>
            <w:pPr>
              <w:autoSpaceDE w:val="0"/>
              <w:autoSpaceDN w:val="0"/>
              <w:adjustRightInd w:val="0"/>
              <w:spacing w:line="360" w:lineRule="auto"/>
              <w:jc w:val="center"/>
              <w:rPr>
                <w:rFonts w:hint="default" w:ascii="宋体" w:cs="宋体"/>
                <w:color w:val="000000"/>
                <w:kern w:val="0"/>
                <w:szCs w:val="21"/>
                <w:lang w:val="en-US" w:eastAsia="zh-CN"/>
              </w:rPr>
            </w:pPr>
            <w:r>
              <w:rPr>
                <w:rFonts w:hint="eastAsia" w:ascii="宋体" w:cs="宋体"/>
                <w:color w:val="000000"/>
                <w:kern w:val="0"/>
                <w:szCs w:val="21"/>
                <w:lang w:val="en-US" w:eastAsia="zh-CN"/>
              </w:rPr>
              <w:t>95</w:t>
            </w:r>
          </w:p>
        </w:tc>
      </w:tr>
    </w:tbl>
    <w:p>
      <w:pPr>
        <w:adjustRightInd w:val="0"/>
        <w:spacing w:line="100" w:lineRule="exact"/>
        <w:rPr>
          <w:rFonts w:ascii="宋体" w:hAnsi="宋体"/>
          <w:b/>
          <w:spacing w:val="4"/>
          <w:kern w:val="30"/>
          <w:sz w:val="24"/>
        </w:rPr>
      </w:pPr>
    </w:p>
    <w:p>
      <w:pPr>
        <w:adjustRightInd w:val="0"/>
        <w:spacing w:line="360" w:lineRule="auto"/>
        <w:rPr>
          <w:rFonts w:ascii="宋体" w:hAnsi="宋体"/>
          <w:spacing w:val="4"/>
          <w:kern w:val="30"/>
          <w:sz w:val="28"/>
          <w:szCs w:val="28"/>
        </w:rPr>
      </w:pPr>
      <w:r>
        <w:rPr>
          <w:rFonts w:hint="eastAsia" w:ascii="宋体" w:hAnsi="宋体"/>
          <w:b/>
          <w:spacing w:val="4"/>
          <w:kern w:val="30"/>
          <w:sz w:val="28"/>
          <w:szCs w:val="28"/>
        </w:rPr>
        <w:t>三</w:t>
      </w:r>
      <w:r>
        <w:rPr>
          <w:rFonts w:hint="eastAsia" w:ascii="宋体" w:hAnsi="宋体"/>
          <w:b/>
          <w:spacing w:val="4"/>
          <w:sz w:val="28"/>
          <w:szCs w:val="28"/>
        </w:rPr>
        <w:t>.</w:t>
      </w:r>
      <w:r>
        <w:rPr>
          <w:rFonts w:hint="eastAsia" w:ascii="宋体" w:hAnsi="宋体"/>
          <w:b/>
          <w:spacing w:val="4"/>
          <w:kern w:val="30"/>
          <w:sz w:val="28"/>
          <w:szCs w:val="28"/>
        </w:rPr>
        <w:t>沿线自然地理特征</w:t>
      </w:r>
    </w:p>
    <w:p>
      <w:pPr>
        <w:tabs>
          <w:tab w:val="left" w:pos="9900"/>
        </w:tabs>
        <w:adjustRightInd w:val="0"/>
        <w:spacing w:line="360" w:lineRule="auto"/>
        <w:ind w:firstLine="578" w:firstLineChars="200"/>
        <w:rPr>
          <w:rFonts w:ascii="宋体" w:hAnsi="宋体"/>
          <w:spacing w:val="4"/>
          <w:kern w:val="30"/>
          <w:sz w:val="28"/>
          <w:szCs w:val="28"/>
        </w:rPr>
      </w:pPr>
      <w:r>
        <w:rPr>
          <w:rFonts w:hint="eastAsia" w:ascii="宋体" w:hAnsi="宋体"/>
          <w:b/>
          <w:spacing w:val="4"/>
          <w:kern w:val="30"/>
          <w:sz w:val="28"/>
          <w:szCs w:val="28"/>
        </w:rPr>
        <w:t>3.1地形</w:t>
      </w:r>
    </w:p>
    <w:p>
      <w:pPr>
        <w:adjustRightInd w:val="0"/>
        <w:spacing w:line="360" w:lineRule="auto"/>
        <w:ind w:firstLine="420" w:firstLineChars="200"/>
        <w:rPr>
          <w:rFonts w:ascii="宋体" w:hAnsi="宋体"/>
          <w:spacing w:val="4"/>
          <w:kern w:val="30"/>
          <w:sz w:val="24"/>
        </w:rPr>
      </w:pPr>
      <w:bookmarkStart w:id="0" w:name="gk"/>
      <w:r>
        <w:drawing>
          <wp:anchor distT="0" distB="0" distL="114935" distR="114935" simplePos="0" relativeHeight="251661312" behindDoc="0" locked="0" layoutInCell="1" allowOverlap="1">
            <wp:simplePos x="0" y="0"/>
            <wp:positionH relativeFrom="column">
              <wp:posOffset>2976880</wp:posOffset>
            </wp:positionH>
            <wp:positionV relativeFrom="paragraph">
              <wp:posOffset>55880</wp:posOffset>
            </wp:positionV>
            <wp:extent cx="3391535" cy="3164840"/>
            <wp:effectExtent l="0" t="0" r="18415" b="1651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391535" cy="3164840"/>
                    </a:xfrm>
                    <a:prstGeom prst="rect">
                      <a:avLst/>
                    </a:prstGeom>
                    <a:noFill/>
                    <a:ln>
                      <a:noFill/>
                    </a:ln>
                  </pic:spPr>
                </pic:pic>
              </a:graphicData>
            </a:graphic>
          </wp:anchor>
        </w:drawing>
      </w:r>
      <w:r>
        <w:rPr>
          <w:rFonts w:hint="eastAsia" w:ascii="宋体" w:hAnsi="宋体" w:cs="Arial"/>
          <w:sz w:val="24"/>
          <w:shd w:val="clear" w:color="auto" w:fill="FFFFFF"/>
        </w:rPr>
        <w:t>桦甸地处长白山区向松辽平原过渡的前缘，地势两翼高，中间低，东南和西北向中部倾斜，全市大小山峰共119座，其中海拔1000米以上的山峰有14座，最高山为北部与永吉交界的南娄山，海拔1405米，最低处为东北部桦树林子乡松花湖沿岸，海拔仅为249米，相对高差1155米。松花江、辉发河纵贯全境，全境明显地分为山地、低山丘陵、沟川沟谷平地三部分，总的地貌特征为“八山一水一分田”</w:t>
      </w:r>
      <w:r>
        <w:rPr>
          <w:rFonts w:hint="eastAsia" w:ascii="宋体" w:hAnsi="宋体"/>
          <w:sz w:val="24"/>
        </w:rPr>
        <w:t>。</w:t>
      </w:r>
      <w:bookmarkEnd w:id="0"/>
    </w:p>
    <w:p>
      <w:pPr>
        <w:adjustRightInd w:val="0"/>
        <w:spacing w:line="360" w:lineRule="auto"/>
        <w:ind w:firstLine="578" w:firstLineChars="200"/>
        <w:rPr>
          <w:rFonts w:ascii="宋体" w:hAnsi="宋体"/>
          <w:b/>
          <w:spacing w:val="4"/>
          <w:kern w:val="30"/>
          <w:sz w:val="28"/>
          <w:szCs w:val="28"/>
        </w:rPr>
      </w:pPr>
      <w:r>
        <w:rPr>
          <w:rFonts w:hint="eastAsia" w:ascii="宋体" w:hAnsi="宋体"/>
          <w:b/>
          <w:spacing w:val="4"/>
          <w:kern w:val="30"/>
          <w:sz w:val="28"/>
          <w:szCs w:val="28"/>
        </w:rPr>
        <w:t>3.2气象</w:t>
      </w:r>
    </w:p>
    <w:p>
      <w:pPr>
        <w:adjustRightInd w:val="0"/>
        <w:spacing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桦甸市地处北温带大陆性季风气候区，一年四季明显。春季干燥多风，夏季炎热多雨，秋季秋高气爽，冬季严寒漫长。年平均气温3.9℃，最热在7月份，极端最高气温出现在1972年，为36.3℃；最冷出现在1月份，极端最低温度出现在1970年，为零下45℃。10℃以上活动积温多年平均2731℃，日照多年平均为2379小时，日照率为54%。年平均降水748.1毫米，且多集中在7至8月份。初霜多在9月下旬，山区9月上旬即可见霜，终霜期一般在5月中旬，山区有时延迟到5月末或6月初。无霜期一般在125天左右，山区110天左右。一年之中降雪长达6个月，最大冻土深度197厘米。总的气候条件基本适合各种早中熟农作物生长发育</w:t>
      </w:r>
      <w:r>
        <w:rPr>
          <w:rFonts w:hint="eastAsia" w:ascii="宋体" w:hAnsi="宋体"/>
          <w:spacing w:val="4"/>
          <w:kern w:val="30"/>
          <w:sz w:val="24"/>
        </w:rPr>
        <w:t>。</w:t>
      </w:r>
    </w:p>
    <w:p>
      <w:pPr>
        <w:adjustRightInd w:val="0"/>
        <w:spacing w:line="360" w:lineRule="auto"/>
        <w:ind w:firstLine="578" w:firstLineChars="200"/>
        <w:rPr>
          <w:rFonts w:ascii="宋体" w:hAnsi="宋体"/>
          <w:b/>
          <w:spacing w:val="4"/>
          <w:kern w:val="30"/>
          <w:sz w:val="28"/>
          <w:szCs w:val="28"/>
        </w:rPr>
      </w:pPr>
      <w:r>
        <w:rPr>
          <w:rFonts w:hint="eastAsia" w:ascii="宋体" w:hAnsi="宋体"/>
          <w:b/>
          <w:spacing w:val="4"/>
          <w:kern w:val="30"/>
          <w:sz w:val="28"/>
          <w:szCs w:val="28"/>
        </w:rPr>
        <w:t>3.3地震</w:t>
      </w:r>
    </w:p>
    <w:p>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pPr>
        <w:adjustRightInd w:val="0"/>
        <w:spacing w:line="360" w:lineRule="auto"/>
        <w:ind w:firstLine="578" w:firstLineChars="200"/>
        <w:rPr>
          <w:rFonts w:ascii="宋体" w:hAnsi="宋体"/>
          <w:b/>
          <w:spacing w:val="4"/>
          <w:kern w:val="30"/>
          <w:sz w:val="28"/>
          <w:szCs w:val="28"/>
        </w:rPr>
      </w:pPr>
      <w:r>
        <w:rPr>
          <w:rFonts w:hint="eastAsia" w:ascii="宋体" w:hAnsi="宋体"/>
          <w:b/>
          <w:spacing w:val="4"/>
          <w:kern w:val="30"/>
          <w:sz w:val="28"/>
          <w:szCs w:val="28"/>
        </w:rPr>
        <w:t>3.4项目建设的必要性</w:t>
      </w:r>
    </w:p>
    <w:p>
      <w:pPr>
        <w:adjustRightInd w:val="0"/>
        <w:spacing w:line="440" w:lineRule="exact"/>
        <w:ind w:firstLine="496" w:firstLineChars="200"/>
        <w:rPr>
          <w:rFonts w:hint="eastAsia" w:ascii="宋体" w:hAnsi="宋体"/>
          <w:color w:val="auto"/>
          <w:spacing w:val="4"/>
          <w:sz w:val="24"/>
        </w:rPr>
      </w:pPr>
      <w:r>
        <w:rPr>
          <w:rFonts w:hint="eastAsia" w:ascii="宋体" w:hAnsi="宋体"/>
          <w:color w:val="auto"/>
          <w:spacing w:val="4"/>
          <w:kern w:val="30"/>
          <w:sz w:val="24"/>
          <w:lang w:eastAsia="zh-CN"/>
        </w:rPr>
        <w:t>民隆村新安屯水泥路</w:t>
      </w:r>
      <w:r>
        <w:rPr>
          <w:rFonts w:hint="eastAsia" w:ascii="宋体" w:hAnsi="宋体"/>
          <w:color w:val="auto"/>
          <w:spacing w:val="4"/>
          <w:kern w:val="30"/>
          <w:sz w:val="24"/>
          <w:lang w:val="en-US" w:eastAsia="zh-CN"/>
        </w:rPr>
        <w:t>(屯外)</w:t>
      </w:r>
      <w:r>
        <w:rPr>
          <w:rFonts w:hint="eastAsia" w:ascii="宋体" w:hAnsi="宋体"/>
          <w:color w:val="auto"/>
          <w:spacing w:val="4"/>
          <w:sz w:val="24"/>
        </w:rPr>
        <w:t>本次设计道路现为</w:t>
      </w:r>
      <w:r>
        <w:rPr>
          <w:rFonts w:hint="eastAsia" w:ascii="宋体" w:hAnsi="宋体"/>
          <w:color w:val="auto"/>
          <w:spacing w:val="4"/>
          <w:sz w:val="24"/>
          <w:lang w:val="en-US" w:eastAsia="zh-CN"/>
        </w:rPr>
        <w:t>水泥</w:t>
      </w:r>
      <w:r>
        <w:rPr>
          <w:rFonts w:hint="eastAsia" w:ascii="宋体" w:hAnsi="宋体"/>
          <w:color w:val="auto"/>
          <w:spacing w:val="4"/>
          <w:sz w:val="24"/>
        </w:rPr>
        <w:t>路面，</w:t>
      </w:r>
      <w:r>
        <w:rPr>
          <w:rFonts w:hint="eastAsia" w:ascii="宋体" w:hAnsi="宋体"/>
          <w:color w:val="auto"/>
          <w:spacing w:val="4"/>
          <w:sz w:val="24"/>
          <w:lang w:val="en-US" w:eastAsia="zh-CN"/>
        </w:rPr>
        <w:t>建于2010年，</w:t>
      </w:r>
      <w:r>
        <w:rPr>
          <w:rFonts w:hint="eastAsia" w:ascii="宋体" w:hAnsi="宋体"/>
          <w:color w:val="auto"/>
          <w:spacing w:val="4"/>
          <w:sz w:val="24"/>
        </w:rPr>
        <w:t>原路路基宽度为</w:t>
      </w:r>
      <w:r>
        <w:rPr>
          <w:rFonts w:hint="eastAsia" w:ascii="宋体" w:hAnsi="宋体"/>
          <w:color w:val="auto"/>
          <w:spacing w:val="4"/>
          <w:sz w:val="24"/>
          <w:lang w:val="en-US" w:eastAsia="zh-CN"/>
        </w:rPr>
        <w:t>5.0</w:t>
      </w:r>
      <w:r>
        <w:rPr>
          <w:rFonts w:hint="eastAsia" w:ascii="宋体" w:hAnsi="宋体"/>
          <w:color w:val="auto"/>
          <w:spacing w:val="4"/>
          <w:sz w:val="24"/>
        </w:rPr>
        <w:t>米，</w:t>
      </w:r>
      <w:r>
        <w:rPr>
          <w:rFonts w:hint="eastAsia" w:ascii="宋体" w:hAnsi="宋体"/>
          <w:color w:val="auto"/>
          <w:spacing w:val="4"/>
          <w:sz w:val="24"/>
          <w:lang w:val="en-US" w:eastAsia="zh-CN"/>
        </w:rPr>
        <w:t>道路两侧紧邻耕地，地形起伏较大，每当春季融雪，雨季来临时对道路路基及路面冲刷严重。路基已出现掏空，路面表层材料松动、脱落，已严重影响路面的外观和质量。行车颠簸，埋藏安全隐患</w:t>
      </w:r>
      <w:r>
        <w:rPr>
          <w:rFonts w:hint="eastAsia" w:ascii="宋体" w:hAnsi="宋体"/>
          <w:color w:val="auto"/>
          <w:spacing w:val="4"/>
          <w:sz w:val="24"/>
        </w:rPr>
        <w:t>。</w:t>
      </w:r>
      <w:r>
        <w:rPr>
          <w:rFonts w:hint="eastAsia" w:ascii="宋体" w:hAnsi="宋体"/>
          <w:color w:val="auto"/>
          <w:spacing w:val="4"/>
          <w:kern w:val="30"/>
          <w:sz w:val="24"/>
          <w:lang w:eastAsia="zh-CN"/>
        </w:rPr>
        <w:t>民隆村</w:t>
      </w:r>
      <w:r>
        <w:rPr>
          <w:rFonts w:hint="eastAsia" w:ascii="宋体" w:hAnsi="宋体"/>
          <w:color w:val="auto"/>
          <w:spacing w:val="4"/>
          <w:sz w:val="24"/>
        </w:rPr>
        <w:t>属</w:t>
      </w:r>
      <w:r>
        <w:rPr>
          <w:rFonts w:hint="eastAsia"/>
          <w:color w:val="auto"/>
          <w:spacing w:val="4"/>
          <w:kern w:val="30"/>
          <w:sz w:val="24"/>
        </w:rPr>
        <w:t>丰满水库移民安置区</w:t>
      </w:r>
      <w:r>
        <w:rPr>
          <w:rFonts w:hint="eastAsia" w:ascii="宋体" w:hAnsi="宋体"/>
          <w:color w:val="auto"/>
          <w:spacing w:val="4"/>
          <w:sz w:val="24"/>
        </w:rPr>
        <w:t>，项目建成后可使</w:t>
      </w:r>
      <w:r>
        <w:rPr>
          <w:rFonts w:hint="eastAsia" w:ascii="宋体" w:hAnsi="宋体"/>
          <w:color w:val="auto"/>
          <w:spacing w:val="4"/>
          <w:sz w:val="24"/>
          <w:lang w:val="en-US" w:eastAsia="zh-CN"/>
        </w:rPr>
        <w:t>1783</w:t>
      </w:r>
      <w:r>
        <w:rPr>
          <w:rFonts w:hint="eastAsia" w:ascii="宋体" w:hAnsi="宋体"/>
          <w:color w:val="auto"/>
          <w:spacing w:val="4"/>
          <w:sz w:val="24"/>
        </w:rPr>
        <w:t>人受益，其中移民</w:t>
      </w:r>
      <w:r>
        <w:rPr>
          <w:rFonts w:hint="eastAsia" w:ascii="宋体" w:hAnsi="宋体"/>
          <w:color w:val="auto"/>
          <w:spacing w:val="4"/>
          <w:sz w:val="24"/>
          <w:lang w:val="en-US" w:eastAsia="zh-CN"/>
        </w:rPr>
        <w:t>1121</w:t>
      </w:r>
      <w:r>
        <w:rPr>
          <w:rFonts w:hint="eastAsia" w:ascii="宋体" w:hAnsi="宋体"/>
          <w:color w:val="auto"/>
          <w:spacing w:val="4"/>
          <w:sz w:val="24"/>
        </w:rPr>
        <w:t>人。因此，为了方便公路沿线地区居民出行和经济发展，必需改善现有的交通运输环境。</w:t>
      </w:r>
    </w:p>
    <w:p>
      <w:pPr>
        <w:adjustRightInd w:val="0"/>
        <w:spacing w:line="360" w:lineRule="auto"/>
        <w:ind w:firstLine="578" w:firstLineChars="200"/>
        <w:rPr>
          <w:rFonts w:hint="eastAsia" w:ascii="宋体" w:hAnsi="宋体"/>
          <w:b/>
          <w:spacing w:val="4"/>
          <w:kern w:val="30"/>
          <w:sz w:val="28"/>
          <w:szCs w:val="28"/>
          <w:lang w:val="en-US" w:eastAsia="zh-CN"/>
        </w:rPr>
      </w:pPr>
      <w:r>
        <w:rPr>
          <w:rFonts w:hint="eastAsia" w:ascii="宋体" w:hAnsi="宋体"/>
          <w:b/>
          <w:spacing w:val="4"/>
          <w:kern w:val="30"/>
          <w:sz w:val="28"/>
          <w:szCs w:val="28"/>
          <w:lang w:val="en-US" w:eastAsia="zh-CN"/>
        </w:rPr>
        <w:t>3.5项目建设的可行性</w:t>
      </w:r>
    </w:p>
    <w:p>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由于项目的实施对地方经济影响较大，当地政府对该道路工程建设高度重视，为项目提供了坚强的组织保证与良好的施工环境。</w:t>
      </w:r>
    </w:p>
    <w:p>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1、沿线群众盼望早日改善道路状况，该项目从根本上改善当地交通条件，满足群众多年的夙愿，当地群众将积极拥护并大力支持项目建设，踊跃为项目建设提供便利条件。</w:t>
      </w:r>
    </w:p>
    <w:p>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2、群众积极性很高，劳动力资源丰富，可以满足全部建设用工的需求。</w:t>
      </w:r>
    </w:p>
    <w:p>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3、该项目道路路基条件较好，现有路基可满足项目施工要求，对周围环境不产生影响既可减少资源和占地，又可加快工程进度；建材丰富，主材可就近购买，供应有保障。</w:t>
      </w:r>
    </w:p>
    <w:p>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4、</w:t>
      </w:r>
      <w:r>
        <w:rPr>
          <w:rFonts w:hint="eastAsia" w:ascii="宋体" w:hAnsi="宋体"/>
          <w:spacing w:val="4"/>
          <w:kern w:val="30"/>
          <w:sz w:val="24"/>
          <w:lang w:val="zh-CN" w:eastAsia="zh-CN"/>
        </w:rPr>
        <w:t>促进农村产业发展:水泥路的改善交通条件为农村地区的农副产品销售和原材料采购提供了便利，促进了农村产业发展。</w:t>
      </w:r>
    </w:p>
    <w:p>
      <w:pPr>
        <w:adjustRightInd w:val="0"/>
        <w:spacing w:line="360" w:lineRule="auto"/>
        <w:ind w:right="53" w:rightChars="25"/>
        <w:rPr>
          <w:rFonts w:ascii="宋体" w:hAnsi="宋体"/>
          <w:b/>
          <w:spacing w:val="4"/>
          <w:sz w:val="28"/>
          <w:szCs w:val="28"/>
        </w:rPr>
      </w:pPr>
      <w:r>
        <w:rPr>
          <w:rFonts w:hint="eastAsia" w:ascii="宋体" w:hAnsi="宋体"/>
          <w:b/>
          <w:spacing w:val="4"/>
          <w:sz w:val="28"/>
          <w:szCs w:val="28"/>
        </w:rPr>
        <w:t>四.设计方案</w:t>
      </w:r>
    </w:p>
    <w:p>
      <w:pPr>
        <w:adjustRightInd w:val="0"/>
        <w:spacing w:line="360" w:lineRule="auto"/>
        <w:ind w:right="53" w:rightChars="25" w:firstLine="578" w:firstLineChars="200"/>
        <w:rPr>
          <w:rFonts w:ascii="宋体" w:hAnsi="宋体"/>
          <w:b/>
          <w:spacing w:val="4"/>
          <w:sz w:val="28"/>
          <w:szCs w:val="28"/>
        </w:rPr>
      </w:pPr>
      <w:r>
        <w:rPr>
          <w:rFonts w:hint="eastAsia" w:ascii="宋体" w:hAnsi="宋体"/>
          <w:b/>
          <w:spacing w:val="4"/>
          <w:sz w:val="28"/>
          <w:szCs w:val="28"/>
        </w:rPr>
        <w:t>4.1路线</w:t>
      </w:r>
    </w:p>
    <w:p>
      <w:pPr>
        <w:adjustRightInd w:val="0"/>
        <w:spacing w:line="360" w:lineRule="auto"/>
        <w:ind w:right="53" w:rightChars="25" w:firstLine="496" w:firstLineChars="200"/>
        <w:rPr>
          <w:rFonts w:ascii="宋体" w:hAnsi="宋体"/>
          <w:b/>
          <w:spacing w:val="4"/>
          <w:sz w:val="24"/>
        </w:rPr>
      </w:pPr>
      <w:r>
        <w:rPr>
          <w:rFonts w:hint="eastAsia" w:ascii="宋体" w:hAnsi="宋体"/>
          <w:spacing w:val="4"/>
          <w:sz w:val="24"/>
        </w:rPr>
        <w:t>本次路线线形以综合考虑平 、纵 、横三者关系，恰当地掌握标准并注意与周围地形 、景观相配合，在布设路线时利用原有路基中线，平面线形由直线、圆曲线组成。</w:t>
      </w:r>
    </w:p>
    <w:p>
      <w:pPr>
        <w:adjustRightInd w:val="0"/>
        <w:spacing w:line="360" w:lineRule="auto"/>
        <w:ind w:right="53" w:rightChars="25" w:firstLine="496" w:firstLineChars="200"/>
        <w:rPr>
          <w:rFonts w:ascii="宋体" w:hAnsi="宋体"/>
          <w:spacing w:val="4"/>
          <w:sz w:val="24"/>
        </w:rPr>
      </w:pPr>
      <w:r>
        <w:rPr>
          <w:rFonts w:hint="eastAsia" w:ascii="宋体" w:hAnsi="宋体"/>
          <w:spacing w:val="4"/>
          <w:sz w:val="24"/>
        </w:rPr>
        <w:t>本纵断面设计高程为</w:t>
      </w:r>
      <w:r>
        <w:rPr>
          <w:rFonts w:hint="eastAsia" w:ascii="宋体" w:hAnsi="宋体"/>
          <w:spacing w:val="4"/>
          <w:sz w:val="24"/>
          <w:lang w:val="en-US" w:eastAsia="zh-CN"/>
        </w:rPr>
        <w:t>1985</w:t>
      </w:r>
      <w:r>
        <w:rPr>
          <w:rFonts w:hint="eastAsia" w:ascii="宋体" w:hAnsi="宋体"/>
          <w:spacing w:val="4"/>
          <w:sz w:val="24"/>
        </w:rPr>
        <w:t>高程，纵断面设计标高为路面中心标高。</w:t>
      </w:r>
    </w:p>
    <w:p>
      <w:pPr>
        <w:adjustRightInd w:val="0"/>
        <w:spacing w:line="360" w:lineRule="auto"/>
        <w:ind w:right="53" w:rightChars="25" w:firstLine="578" w:firstLineChars="200"/>
        <w:rPr>
          <w:rFonts w:ascii="宋体" w:hAnsi="宋体"/>
          <w:b/>
          <w:spacing w:val="4"/>
          <w:sz w:val="28"/>
          <w:szCs w:val="28"/>
        </w:rPr>
      </w:pPr>
      <w:r>
        <w:rPr>
          <w:rFonts w:hint="eastAsia" w:ascii="宋体" w:hAnsi="宋体"/>
          <w:b/>
          <w:spacing w:val="4"/>
          <w:sz w:val="28"/>
          <w:szCs w:val="28"/>
        </w:rPr>
        <w:t>4.2路基</w:t>
      </w:r>
    </w:p>
    <w:p>
      <w:pPr>
        <w:adjustRightInd w:val="0"/>
        <w:spacing w:line="360" w:lineRule="auto"/>
        <w:ind w:right="53" w:rightChars="25" w:firstLine="578" w:firstLineChars="200"/>
        <w:rPr>
          <w:rFonts w:ascii="宋体" w:hAnsi="宋体"/>
          <w:b/>
          <w:spacing w:val="4"/>
          <w:sz w:val="28"/>
          <w:szCs w:val="28"/>
        </w:rPr>
      </w:pPr>
      <w:r>
        <w:rPr>
          <w:rFonts w:hint="eastAsia" w:ascii="宋体" w:hAnsi="宋体"/>
          <w:b/>
          <w:spacing w:val="4"/>
          <w:sz w:val="28"/>
          <w:szCs w:val="28"/>
        </w:rPr>
        <w:t>4.2.1一般路基设计</w:t>
      </w:r>
    </w:p>
    <w:p>
      <w:pPr>
        <w:adjustRightInd w:val="0"/>
        <w:spacing w:line="360" w:lineRule="auto"/>
        <w:ind w:right="53" w:rightChars="25" w:firstLine="496" w:firstLineChars="200"/>
        <w:outlineLvl w:val="0"/>
        <w:rPr>
          <w:rFonts w:ascii="宋体" w:hAnsi="宋体"/>
          <w:color w:val="auto"/>
          <w:spacing w:val="4"/>
          <w:sz w:val="24"/>
        </w:rPr>
      </w:pPr>
      <w:r>
        <w:rPr>
          <w:rFonts w:hint="eastAsia" w:ascii="宋体" w:hAnsi="宋体"/>
          <w:color w:val="0000FF"/>
          <w:spacing w:val="4"/>
          <w:sz w:val="24"/>
        </w:rPr>
        <w:t>路基设计宽度为</w:t>
      </w:r>
      <w:r>
        <w:rPr>
          <w:rFonts w:hint="eastAsia" w:ascii="宋体" w:hAnsi="宋体"/>
          <w:color w:val="0000FF"/>
          <w:spacing w:val="4"/>
          <w:sz w:val="24"/>
          <w:lang w:val="en-US" w:eastAsia="zh-CN"/>
        </w:rPr>
        <w:t>5.0</w:t>
      </w:r>
      <w:r>
        <w:rPr>
          <w:rFonts w:hint="eastAsia" w:ascii="宋体" w:hAnsi="宋体"/>
          <w:color w:val="0000FF"/>
          <w:spacing w:val="4"/>
          <w:sz w:val="24"/>
        </w:rPr>
        <w:t>米，路面宽度为</w:t>
      </w:r>
      <w:r>
        <w:rPr>
          <w:rFonts w:hint="eastAsia" w:ascii="宋体" w:hAnsi="宋体"/>
          <w:color w:val="0000FF"/>
          <w:spacing w:val="4"/>
          <w:sz w:val="24"/>
          <w:lang w:val="en-US" w:eastAsia="zh-CN"/>
        </w:rPr>
        <w:t>4.5</w:t>
      </w:r>
      <w:r>
        <w:rPr>
          <w:rFonts w:hint="eastAsia" w:ascii="宋体" w:hAnsi="宋体"/>
          <w:color w:val="0000FF"/>
          <w:spacing w:val="4"/>
          <w:sz w:val="24"/>
        </w:rPr>
        <w:t>米，土路肩宽为2×0.</w:t>
      </w:r>
      <w:r>
        <w:rPr>
          <w:rFonts w:ascii="宋体" w:hAnsi="宋体"/>
          <w:color w:val="0000FF"/>
          <w:spacing w:val="4"/>
          <w:sz w:val="24"/>
        </w:rPr>
        <w:t>2</w:t>
      </w:r>
      <w:r>
        <w:rPr>
          <w:rFonts w:hint="eastAsia" w:ascii="宋体" w:hAnsi="宋体"/>
          <w:color w:val="0000FF"/>
          <w:spacing w:val="4"/>
          <w:sz w:val="24"/>
        </w:rPr>
        <w:t>5米，</w:t>
      </w:r>
      <w:r>
        <w:rPr>
          <w:rFonts w:hint="eastAsia" w:ascii="宋体" w:hAnsi="宋体"/>
          <w:spacing w:val="4"/>
          <w:sz w:val="24"/>
        </w:rPr>
        <w:t>路面横坡为单向</w:t>
      </w:r>
      <w:r>
        <w:rPr>
          <w:rFonts w:hint="eastAsia" w:ascii="宋体" w:hAnsi="宋体"/>
          <w:color w:val="0000FF"/>
          <w:spacing w:val="4"/>
          <w:sz w:val="24"/>
        </w:rPr>
        <w:t>1.0%</w:t>
      </w:r>
      <w:r>
        <w:rPr>
          <w:rFonts w:hint="eastAsia" w:ascii="宋体" w:hAnsi="宋体"/>
          <w:spacing w:val="4"/>
          <w:sz w:val="24"/>
        </w:rPr>
        <w:t>,土路肩标准横坡为2.5 %。填方路基边坡为1：1.5，利用旧路段路堤加宽时应将路堤边坡挖成</w:t>
      </w:r>
      <w:r>
        <w:rPr>
          <w:rFonts w:hint="eastAsia" w:ascii="宋体" w:hAnsi="宋体"/>
          <w:color w:val="auto"/>
          <w:spacing w:val="4"/>
          <w:sz w:val="24"/>
        </w:rPr>
        <w:t>向内倾斜4</w:t>
      </w:r>
      <w:r>
        <w:rPr>
          <w:rFonts w:ascii="宋体" w:hAnsi="宋体"/>
          <w:color w:val="auto"/>
          <w:spacing w:val="4"/>
          <w:sz w:val="24"/>
        </w:rPr>
        <w:t>%</w:t>
      </w:r>
      <w:r>
        <w:rPr>
          <w:rFonts w:hint="eastAsia" w:ascii="宋体" w:hAnsi="宋体"/>
          <w:color w:val="auto"/>
          <w:spacing w:val="4"/>
          <w:sz w:val="24"/>
        </w:rPr>
        <w:t>的坡度，宽度不小于2米的台阶，然后再进行填筑。</w:t>
      </w:r>
    </w:p>
    <w:p>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4.2.2路基最小承载比和压实度</w:t>
      </w:r>
    </w:p>
    <w:p>
      <w:pPr>
        <w:adjustRightInd w:val="0"/>
        <w:spacing w:line="360" w:lineRule="auto"/>
        <w:ind w:right="53" w:rightChars="25" w:firstLine="496" w:firstLineChars="200"/>
        <w:rPr>
          <w:rFonts w:ascii="宋体" w:hAnsi="宋体"/>
          <w:color w:val="auto"/>
          <w:spacing w:val="4"/>
          <w:sz w:val="24"/>
        </w:rPr>
      </w:pPr>
      <w:r>
        <w:rPr>
          <w:rFonts w:hint="eastAsia" w:ascii="宋体" w:hAnsi="宋体"/>
          <w:color w:val="auto"/>
          <w:spacing w:val="4"/>
          <w:sz w:val="24"/>
        </w:rPr>
        <w:t>路基填料的最小</w:t>
      </w:r>
      <w:bookmarkStart w:id="1" w:name="_Hlk48051503"/>
      <w:r>
        <w:rPr>
          <w:rFonts w:hint="eastAsia" w:ascii="宋体" w:hAnsi="宋体"/>
          <w:color w:val="auto"/>
          <w:spacing w:val="4"/>
          <w:sz w:val="24"/>
        </w:rPr>
        <w:t>承载比</w:t>
      </w:r>
      <w:bookmarkEnd w:id="1"/>
      <w:r>
        <w:rPr>
          <w:rFonts w:hint="eastAsia" w:ascii="宋体" w:hAnsi="宋体"/>
          <w:color w:val="auto"/>
          <w:spacing w:val="4"/>
          <w:sz w:val="24"/>
        </w:rPr>
        <w:t>、压实度及填料最大粒径见下表：</w:t>
      </w:r>
    </w:p>
    <w:p>
      <w:pPr>
        <w:adjustRightInd w:val="0"/>
        <w:spacing w:line="180" w:lineRule="exact"/>
        <w:ind w:right="53" w:rightChars="25" w:firstLine="496" w:firstLineChars="200"/>
        <w:rPr>
          <w:rFonts w:ascii="宋体" w:hAnsi="宋体"/>
          <w:color w:val="auto"/>
          <w:spacing w:val="4"/>
          <w:sz w:val="24"/>
        </w:rPr>
      </w:pPr>
    </w:p>
    <w:tbl>
      <w:tblPr>
        <w:tblStyle w:val="6"/>
        <w:tblW w:w="10016"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282"/>
        <w:gridCol w:w="1282"/>
        <w:gridCol w:w="1282"/>
        <w:gridCol w:w="1282"/>
        <w:gridCol w:w="1282"/>
        <w:gridCol w:w="128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2324" w:type="dxa"/>
            <w:vMerge w:val="restart"/>
            <w:tcBorders>
              <w:top w:val="single" w:color="auto" w:sz="12" w:space="0"/>
              <w:left w:val="single" w:color="auto" w:sz="1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项目分类</w:t>
            </w:r>
          </w:p>
        </w:tc>
        <w:tc>
          <w:tcPr>
            <w:tcW w:w="5128" w:type="dxa"/>
            <w:gridSpan w:val="4"/>
            <w:tcBorders>
              <w:top w:val="single" w:color="auto" w:sz="1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填方路基</w:t>
            </w:r>
          </w:p>
        </w:tc>
        <w:tc>
          <w:tcPr>
            <w:tcW w:w="2564" w:type="dxa"/>
            <w:gridSpan w:val="2"/>
            <w:tcBorders>
              <w:top w:val="single" w:color="auto" w:sz="12" w:space="0"/>
              <w:left w:val="single" w:color="auto" w:sz="2" w:space="0"/>
              <w:bottom w:val="single" w:color="auto" w:sz="2" w:space="0"/>
              <w:right w:val="single" w:color="auto" w:sz="12" w:space="0"/>
            </w:tcBorders>
            <w:vAlign w:val="center"/>
          </w:tcPr>
          <w:p>
            <w:pPr>
              <w:autoSpaceDE w:val="0"/>
              <w:autoSpaceDN w:val="0"/>
              <w:adjustRightInd w:val="0"/>
              <w:spacing w:line="360" w:lineRule="auto"/>
              <w:jc w:val="center"/>
              <w:rPr>
                <w:rFonts w:hint="eastAsia" w:ascii="宋体" w:cs="宋体"/>
                <w:color w:val="auto"/>
                <w:kern w:val="0"/>
                <w:szCs w:val="21"/>
              </w:rPr>
            </w:pPr>
            <w:r>
              <w:rPr>
                <w:rFonts w:hint="eastAsia" w:ascii="宋体" w:cs="宋体"/>
                <w:color w:val="auto"/>
                <w:kern w:val="0"/>
                <w:szCs w:val="21"/>
              </w:rPr>
              <w:t>零填及挖方路基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2324" w:type="dxa"/>
            <w:vMerge w:val="continue"/>
            <w:tcBorders>
              <w:top w:val="single" w:color="auto" w:sz="12" w:space="0"/>
              <w:left w:val="single" w:color="auto" w:sz="1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0～0.3</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ind w:left="105" w:right="53" w:rightChars="25" w:hanging="105" w:hangingChars="50"/>
              <w:jc w:val="center"/>
              <w:rPr>
                <w:rFonts w:ascii="宋体" w:cs="宋体"/>
                <w:color w:val="auto"/>
                <w:kern w:val="0"/>
                <w:szCs w:val="21"/>
              </w:rPr>
            </w:pPr>
            <w:r>
              <w:rPr>
                <w:rFonts w:hint="eastAsia" w:ascii="宋体" w:cs="宋体"/>
                <w:color w:val="auto"/>
                <w:kern w:val="0"/>
                <w:szCs w:val="21"/>
              </w:rPr>
              <w:t>0.3～0.8</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0.8～1.5</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1.5以下</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0～0.3</w:t>
            </w:r>
          </w:p>
        </w:tc>
        <w:tc>
          <w:tcPr>
            <w:tcW w:w="1282" w:type="dxa"/>
            <w:tcBorders>
              <w:top w:val="single" w:color="auto" w:sz="2" w:space="0"/>
              <w:left w:val="single" w:color="auto" w:sz="2" w:space="0"/>
              <w:bottom w:val="single" w:color="auto" w:sz="2" w:space="0"/>
              <w:right w:val="single" w:color="auto" w:sz="12" w:space="0"/>
            </w:tcBorders>
            <w:vAlign w:val="center"/>
          </w:tcPr>
          <w:p>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0.3～0.8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填料承载比(CBR)%</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≥5</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≥2</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≥5</w:t>
            </w:r>
          </w:p>
        </w:tc>
        <w:tc>
          <w:tcPr>
            <w:tcW w:w="1282" w:type="dxa"/>
            <w:tcBorders>
              <w:top w:val="single" w:color="auto" w:sz="2" w:space="0"/>
              <w:left w:val="single" w:color="auto" w:sz="2" w:space="0"/>
              <w:bottom w:val="single" w:color="auto" w:sz="2" w:space="0"/>
              <w:right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压实度(%)(重型击实)</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≥92</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≥92</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≥91</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≥90</w:t>
            </w:r>
          </w:p>
        </w:tc>
        <w:tc>
          <w:tcPr>
            <w:tcW w:w="1282" w:type="dxa"/>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≥92</w:t>
            </w:r>
          </w:p>
        </w:tc>
        <w:tc>
          <w:tcPr>
            <w:tcW w:w="1282" w:type="dxa"/>
            <w:tcBorders>
              <w:top w:val="single" w:color="auto" w:sz="2" w:space="0"/>
              <w:left w:val="single" w:color="auto" w:sz="2" w:space="0"/>
              <w:bottom w:val="single" w:color="auto" w:sz="2" w:space="0"/>
              <w:right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1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填料最大粒径(mm)</w:t>
            </w:r>
          </w:p>
        </w:tc>
        <w:tc>
          <w:tcPr>
            <w:tcW w:w="1282" w:type="dxa"/>
            <w:tcBorders>
              <w:top w:val="single" w:color="auto" w:sz="2" w:space="0"/>
              <w:left w:val="single" w:color="auto" w:sz="2" w:space="0"/>
              <w:bottom w:val="single" w:color="auto" w:sz="1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c>
          <w:tcPr>
            <w:tcW w:w="1282" w:type="dxa"/>
            <w:tcBorders>
              <w:top w:val="single" w:color="auto" w:sz="2" w:space="0"/>
              <w:left w:val="single" w:color="auto" w:sz="2" w:space="0"/>
              <w:bottom w:val="single" w:color="auto" w:sz="1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c>
          <w:tcPr>
            <w:tcW w:w="1282" w:type="dxa"/>
            <w:tcBorders>
              <w:top w:val="single" w:color="auto" w:sz="2" w:space="0"/>
              <w:left w:val="single" w:color="auto" w:sz="2" w:space="0"/>
              <w:bottom w:val="single" w:color="auto" w:sz="1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150</w:t>
            </w:r>
          </w:p>
        </w:tc>
        <w:tc>
          <w:tcPr>
            <w:tcW w:w="1282" w:type="dxa"/>
            <w:tcBorders>
              <w:top w:val="single" w:color="auto" w:sz="2" w:space="0"/>
              <w:left w:val="single" w:color="auto" w:sz="2" w:space="0"/>
              <w:bottom w:val="single" w:color="auto" w:sz="1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150</w:t>
            </w:r>
          </w:p>
        </w:tc>
        <w:tc>
          <w:tcPr>
            <w:tcW w:w="1282" w:type="dxa"/>
            <w:tcBorders>
              <w:top w:val="single" w:color="auto" w:sz="2" w:space="0"/>
              <w:left w:val="single" w:color="auto" w:sz="2" w:space="0"/>
              <w:bottom w:val="single" w:color="auto" w:sz="12" w:space="0"/>
              <w:right w:val="single" w:color="auto" w:sz="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c>
          <w:tcPr>
            <w:tcW w:w="1282" w:type="dxa"/>
            <w:tcBorders>
              <w:top w:val="single" w:color="auto" w:sz="2" w:space="0"/>
              <w:left w:val="single" w:color="auto" w:sz="2" w:space="0"/>
              <w:bottom w:val="single" w:color="auto" w:sz="12" w:space="0"/>
              <w:right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r>
    </w:tbl>
    <w:p>
      <w:pPr>
        <w:pStyle w:val="3"/>
        <w:adjustRightInd w:val="0"/>
        <w:spacing w:line="180" w:lineRule="exact"/>
        <w:ind w:firstLine="498" w:firstLineChars="200"/>
        <w:rPr>
          <w:rFonts w:hAnsi="宋体" w:cs="Times New Roman"/>
          <w:b/>
          <w:color w:val="auto"/>
          <w:spacing w:val="4"/>
          <w:sz w:val="24"/>
          <w:szCs w:val="24"/>
        </w:rPr>
      </w:pPr>
    </w:p>
    <w:p>
      <w:pPr>
        <w:adjustRightInd w:val="0"/>
        <w:spacing w:line="360" w:lineRule="auto"/>
        <w:ind w:right="53" w:rightChars="25" w:firstLine="578" w:firstLineChars="200"/>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pPr>
        <w:adjustRightInd w:val="0"/>
        <w:spacing w:line="360" w:lineRule="auto"/>
        <w:ind w:right="53" w:rightChars="25" w:firstLine="562" w:firstLineChars="200"/>
        <w:outlineLvl w:val="0"/>
        <w:rPr>
          <w:b/>
          <w:bCs/>
          <w:color w:val="auto"/>
          <w:sz w:val="28"/>
          <w:szCs w:val="28"/>
        </w:rPr>
      </w:pPr>
      <w:r>
        <w:rPr>
          <w:b/>
          <w:bCs/>
          <w:color w:val="auto"/>
          <w:sz w:val="28"/>
          <w:szCs w:val="28"/>
        </w:rPr>
        <w:t>4</w:t>
      </w:r>
      <w:r>
        <w:rPr>
          <w:rFonts w:hint="eastAsia" w:ascii="宋体" w:hAnsi="宋体"/>
          <w:b/>
          <w:color w:val="auto"/>
          <w:spacing w:val="4"/>
          <w:sz w:val="28"/>
          <w:szCs w:val="28"/>
        </w:rPr>
        <w:t>.</w:t>
      </w:r>
      <w:r>
        <w:rPr>
          <w:b/>
          <w:bCs/>
          <w:color w:val="auto"/>
          <w:sz w:val="28"/>
          <w:szCs w:val="28"/>
        </w:rPr>
        <w:t>3</w:t>
      </w:r>
      <w:r>
        <w:rPr>
          <w:rFonts w:hint="eastAsia" w:ascii="宋体" w:hAnsi="宋体"/>
          <w:b/>
          <w:color w:val="auto"/>
          <w:spacing w:val="4"/>
          <w:sz w:val="28"/>
          <w:szCs w:val="28"/>
        </w:rPr>
        <w:t>.</w:t>
      </w:r>
      <w:r>
        <w:rPr>
          <w:b/>
          <w:bCs/>
          <w:color w:val="auto"/>
          <w:sz w:val="28"/>
          <w:szCs w:val="28"/>
        </w:rPr>
        <w:t xml:space="preserve">1 </w:t>
      </w:r>
      <w:r>
        <w:rPr>
          <w:rFonts w:hint="eastAsia"/>
          <w:b/>
          <w:bCs/>
          <w:color w:val="auto"/>
          <w:sz w:val="28"/>
          <w:szCs w:val="28"/>
        </w:rPr>
        <w:t>水泥混凝土面层</w:t>
      </w:r>
    </w:p>
    <w:p>
      <w:pPr>
        <w:adjustRightInd w:val="0"/>
        <w:spacing w:line="360" w:lineRule="auto"/>
        <w:ind w:right="53" w:rightChars="25" w:firstLine="496" w:firstLineChars="200"/>
        <w:outlineLvl w:val="0"/>
        <w:rPr>
          <w:rFonts w:hint="eastAsia" w:eastAsia="宋体"/>
          <w:b/>
          <w:bCs/>
          <w:color w:val="auto"/>
          <w:sz w:val="24"/>
          <w:lang w:val="en-US" w:eastAsia="zh-CN"/>
        </w:rPr>
      </w:pPr>
      <w:r>
        <w:rPr>
          <w:rFonts w:hint="eastAsia" w:ascii="宋体" w:hAnsi="宋体"/>
          <w:color w:val="auto"/>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color w:val="auto"/>
          <w:spacing w:val="4"/>
          <w:kern w:val="30"/>
          <w:sz w:val="24"/>
        </w:rPr>
        <w:t>交通部颁发《公路水泥混凝土路面设计规范》（JTG D40～2011）</w:t>
      </w:r>
      <w:r>
        <w:rPr>
          <w:rFonts w:hint="eastAsia" w:ascii="宋体" w:hAnsi="宋体"/>
          <w:color w:val="auto"/>
          <w:spacing w:val="4"/>
          <w:sz w:val="24"/>
        </w:rPr>
        <w:t>、《公路路面基层施工技术规范》(JTJ 034～2015)、</w:t>
      </w:r>
      <w:r>
        <w:rPr>
          <w:rFonts w:hint="eastAsia" w:ascii="宋体" w:hAnsi="宋体"/>
          <w:color w:val="auto"/>
          <w:spacing w:val="4"/>
          <w:kern w:val="30"/>
          <w:sz w:val="24"/>
        </w:rPr>
        <w:t>《公路水泥混凝土路面施工技术细则》（JTG/T F30～2014）</w:t>
      </w:r>
      <w:r>
        <w:rPr>
          <w:rFonts w:hint="eastAsia" w:ascii="宋体" w:hAnsi="宋体"/>
          <w:color w:val="auto"/>
          <w:spacing w:val="4"/>
          <w:sz w:val="24"/>
        </w:rPr>
        <w:t>及其它有关规范、规定进行设计。</w:t>
      </w:r>
      <w:r>
        <w:rPr>
          <w:rFonts w:hint="eastAsia" w:ascii="宋体" w:hAnsi="宋体"/>
          <w:color w:val="auto"/>
          <w:spacing w:val="4"/>
          <w:sz w:val="24"/>
          <w:lang w:val="en-US" w:eastAsia="zh-CN"/>
        </w:rPr>
        <w:t xml:space="preserve"> </w:t>
      </w:r>
    </w:p>
    <w:p>
      <w:pPr>
        <w:adjustRightInd w:val="0"/>
        <w:spacing w:line="360" w:lineRule="auto"/>
        <w:ind w:right="53" w:rightChars="25" w:firstLine="562" w:firstLineChars="200"/>
        <w:outlineLvl w:val="0"/>
        <w:rPr>
          <w:b/>
          <w:bCs/>
          <w:color w:val="auto"/>
          <w:sz w:val="28"/>
          <w:szCs w:val="28"/>
        </w:rPr>
      </w:pPr>
      <w:r>
        <w:rPr>
          <w:b/>
          <w:bCs/>
          <w:color w:val="auto"/>
          <w:sz w:val="28"/>
          <w:szCs w:val="28"/>
        </w:rPr>
        <w:t>4</w:t>
      </w:r>
      <w:r>
        <w:rPr>
          <w:rFonts w:hint="eastAsia" w:ascii="宋体" w:hAnsi="宋体"/>
          <w:b/>
          <w:color w:val="auto"/>
          <w:spacing w:val="4"/>
          <w:sz w:val="28"/>
          <w:szCs w:val="28"/>
        </w:rPr>
        <w:t>.</w:t>
      </w:r>
      <w:r>
        <w:rPr>
          <w:b/>
          <w:bCs/>
          <w:color w:val="auto"/>
          <w:sz w:val="28"/>
          <w:szCs w:val="28"/>
        </w:rPr>
        <w:t>3</w:t>
      </w:r>
      <w:r>
        <w:rPr>
          <w:rFonts w:hint="eastAsia" w:ascii="宋体" w:hAnsi="宋体"/>
          <w:b/>
          <w:color w:val="auto"/>
          <w:spacing w:val="4"/>
          <w:sz w:val="28"/>
          <w:szCs w:val="28"/>
        </w:rPr>
        <w:t>.</w:t>
      </w:r>
      <w:r>
        <w:rPr>
          <w:b/>
          <w:bCs/>
          <w:color w:val="auto"/>
          <w:sz w:val="28"/>
          <w:szCs w:val="28"/>
        </w:rPr>
        <w:t>1</w:t>
      </w:r>
      <w:r>
        <w:rPr>
          <w:rFonts w:hint="eastAsia" w:ascii="宋体" w:hAnsi="宋体"/>
          <w:b/>
          <w:color w:val="auto"/>
          <w:spacing w:val="4"/>
          <w:sz w:val="28"/>
          <w:szCs w:val="28"/>
        </w:rPr>
        <w:t>.</w:t>
      </w:r>
      <w:r>
        <w:rPr>
          <w:b/>
          <w:bCs/>
          <w:color w:val="auto"/>
          <w:sz w:val="28"/>
          <w:szCs w:val="28"/>
        </w:rPr>
        <w:t>1</w:t>
      </w:r>
      <w:r>
        <w:rPr>
          <w:rFonts w:hint="eastAsia"/>
          <w:b/>
          <w:bCs/>
          <w:color w:val="auto"/>
          <w:sz w:val="28"/>
          <w:szCs w:val="28"/>
        </w:rPr>
        <w:t>水泥混凝土</w:t>
      </w:r>
    </w:p>
    <w:p>
      <w:pPr>
        <w:adjustRightInd w:val="0"/>
        <w:spacing w:line="360" w:lineRule="auto"/>
        <w:ind w:left="-53" w:leftChars="-25" w:right="53" w:rightChars="25" w:firstLine="480" w:firstLineChars="200"/>
        <w:rPr>
          <w:rFonts w:ascii="宋体" w:hAnsi="宋体"/>
          <w:color w:val="auto"/>
          <w:sz w:val="24"/>
        </w:rPr>
      </w:pPr>
      <w:r>
        <w:rPr>
          <w:rFonts w:hint="eastAsia" w:ascii="宋体" w:hAnsi="宋体"/>
          <w:color w:val="auto"/>
          <w:sz w:val="24"/>
        </w:rPr>
        <w:t>水泥混凝土路面结构设计安全等级为三级，设计基准期为10年，目标可靠度为70％，目标可靠指标为0.52，变异水平等级为高，水泥混凝土弯拉强度变异系数变化范围为：0.15＜Cv≤0.20,基层顶面当量模量变异系数变化范围为：0.35＜Cv≤0.55，水泥混凝土面层厚度变异系数变化范围为：0.06＜Cv≤0.08。</w:t>
      </w:r>
    </w:p>
    <w:p>
      <w:pPr>
        <w:adjustRightInd w:val="0"/>
        <w:spacing w:line="360" w:lineRule="auto"/>
        <w:ind w:firstLine="480" w:firstLineChars="200"/>
        <w:rPr>
          <w:rFonts w:ascii="宋体" w:hAnsi="宋体"/>
          <w:color w:val="auto"/>
          <w:sz w:val="24"/>
        </w:rPr>
      </w:pPr>
      <w:r>
        <w:rPr>
          <w:rFonts w:hint="eastAsia" w:ascii="宋体" w:hAnsi="宋体"/>
          <w:color w:val="auto"/>
          <w:sz w:val="24"/>
        </w:rPr>
        <w:t>水泥混凝土的水灰比不大于0.4</w:t>
      </w:r>
      <w:r>
        <w:rPr>
          <w:rFonts w:hint="eastAsia" w:ascii="宋体" w:hAnsi="宋体"/>
          <w:color w:val="auto"/>
          <w:sz w:val="24"/>
          <w:lang w:val="en-US" w:eastAsia="zh-CN"/>
        </w:rPr>
        <w:t>8</w:t>
      </w:r>
      <w:r>
        <w:rPr>
          <w:rFonts w:hint="eastAsia" w:ascii="宋体" w:hAnsi="宋体"/>
          <w:color w:val="auto"/>
          <w:sz w:val="24"/>
        </w:rPr>
        <w:t>；最大单位水泥用量不宜大于420kg/m</w:t>
      </w:r>
      <w:r>
        <w:rPr>
          <w:rFonts w:hint="eastAsia" w:ascii="宋体" w:hAnsi="宋体"/>
          <w:color w:val="auto"/>
          <w:sz w:val="24"/>
          <w:vertAlign w:val="superscript"/>
        </w:rPr>
        <w:t>3</w:t>
      </w:r>
      <w:r>
        <w:rPr>
          <w:rFonts w:hint="eastAsia" w:ascii="宋体" w:hAnsi="宋体"/>
          <w:color w:val="auto"/>
          <w:sz w:val="24"/>
        </w:rPr>
        <w:t>，最小单位水泥用量不得小于315Kg/m</w:t>
      </w:r>
      <w:r>
        <w:rPr>
          <w:rFonts w:hint="eastAsia" w:ascii="宋体" w:hAnsi="宋体"/>
          <w:color w:val="auto"/>
          <w:sz w:val="24"/>
          <w:vertAlign w:val="superscript"/>
        </w:rPr>
        <w:t>3</w:t>
      </w:r>
      <w:r>
        <w:rPr>
          <w:rFonts w:hint="eastAsia" w:ascii="宋体" w:hAnsi="宋体"/>
          <w:color w:val="auto"/>
          <w:sz w:val="24"/>
        </w:rPr>
        <w:t>。</w:t>
      </w:r>
    </w:p>
    <w:p>
      <w:pPr>
        <w:adjustRightInd w:val="0"/>
        <w:spacing w:line="360" w:lineRule="auto"/>
        <w:ind w:firstLine="480" w:firstLineChars="200"/>
        <w:rPr>
          <w:rFonts w:ascii="宋体" w:hAnsi="宋体"/>
          <w:color w:val="auto"/>
          <w:sz w:val="24"/>
        </w:rPr>
      </w:pPr>
      <w:r>
        <w:rPr>
          <w:rFonts w:hint="eastAsia" w:ascii="宋体" w:hAnsi="宋体"/>
          <w:color w:val="auto"/>
          <w:sz w:val="24"/>
        </w:rPr>
        <w:t>水泥混凝土的抗冻等级不宜低于F200级；冰冻地区的混凝土中应参加引气剂，确保其抗冻性，提高工作性。</w:t>
      </w:r>
    </w:p>
    <w:p>
      <w:pPr>
        <w:adjustRightInd w:val="0"/>
        <w:spacing w:line="360" w:lineRule="auto"/>
        <w:ind w:firstLine="480" w:firstLineChars="200"/>
        <w:rPr>
          <w:rFonts w:ascii="宋体" w:hAnsi="宋体"/>
          <w:color w:val="auto"/>
          <w:sz w:val="24"/>
        </w:rPr>
      </w:pPr>
      <w:r>
        <w:rPr>
          <w:rFonts w:hint="eastAsia" w:ascii="宋体" w:hAnsi="宋体"/>
          <w:color w:val="auto"/>
          <w:sz w:val="24"/>
        </w:rPr>
        <w:t>水泥路面表面必须采用拉毛、拉槽、压槽或刻槽等方法筑做表面构造，构造深度一般路段为0.5～1.0mm，特殊路段为0.6～1.1mm。</w:t>
      </w:r>
    </w:p>
    <w:p>
      <w:pPr>
        <w:adjustRightInd w:val="0"/>
        <w:spacing w:line="360" w:lineRule="auto"/>
        <w:ind w:left="-53" w:leftChars="-25" w:right="53" w:rightChars="25" w:firstLine="496" w:firstLineChars="200"/>
        <w:rPr>
          <w:rFonts w:ascii="宋体" w:hAnsi="宋体"/>
          <w:color w:val="auto"/>
          <w:spacing w:val="4"/>
          <w:sz w:val="24"/>
        </w:rPr>
      </w:pPr>
      <w:r>
        <w:rPr>
          <w:rFonts w:hint="eastAsia" w:ascii="宋体" w:hAnsi="宋体"/>
          <w:color w:val="auto"/>
          <w:spacing w:val="4"/>
          <w:sz w:val="24"/>
        </w:rPr>
        <w:t>路面设计采用双轮组单轴轴载100KN为标准轴载，路面结构计算采用HPDS2017电算程序进行计算，采用专用设计程序，对路面厚度进行计算，确定了路面结构和厚度如下：面层为20厘米水泥混凝土路面,水泥混凝土板块为：</w:t>
      </w:r>
      <w:r>
        <w:rPr>
          <w:rFonts w:hint="eastAsia" w:ascii="宋体" w:hAnsi="宋体"/>
          <w:color w:val="auto"/>
          <w:spacing w:val="4"/>
          <w:sz w:val="24"/>
          <w:lang w:val="en-US" w:eastAsia="zh-CN"/>
        </w:rPr>
        <w:t>5.0</w:t>
      </w:r>
      <w:r>
        <w:rPr>
          <w:rFonts w:hint="eastAsia" w:ascii="宋体" w:hAnsi="宋体"/>
          <w:color w:val="auto"/>
          <w:spacing w:val="4"/>
          <w:sz w:val="24"/>
        </w:rPr>
        <w:t>×</w:t>
      </w:r>
      <w:r>
        <w:rPr>
          <w:rFonts w:hint="eastAsia" w:ascii="宋体" w:hAnsi="宋体"/>
          <w:color w:val="auto"/>
          <w:spacing w:val="4"/>
          <w:sz w:val="24"/>
          <w:lang w:val="en-US" w:eastAsia="zh-CN"/>
        </w:rPr>
        <w:t>4.5</w:t>
      </w:r>
      <w:r>
        <w:rPr>
          <w:rFonts w:hint="eastAsia" w:ascii="宋体" w:hAnsi="宋体"/>
          <w:color w:val="auto"/>
          <w:spacing w:val="4"/>
          <w:sz w:val="24"/>
        </w:rPr>
        <w:t>米（长×宽）；</w:t>
      </w:r>
      <w:r>
        <w:rPr>
          <w:rFonts w:hint="eastAsia" w:ascii="宋体" w:hAnsi="宋体"/>
          <w:color w:val="auto"/>
          <w:spacing w:val="4"/>
          <w:sz w:val="24"/>
          <w:lang w:eastAsia="zh-CN"/>
        </w:rPr>
        <w:t>15厘米级配碎石</w:t>
      </w:r>
      <w:r>
        <w:rPr>
          <w:rFonts w:hint="eastAsia" w:ascii="宋体" w:hAnsi="宋体"/>
          <w:color w:val="auto"/>
          <w:spacing w:val="4"/>
          <w:sz w:val="24"/>
        </w:rPr>
        <w:t>（山皮石）基层。</w:t>
      </w:r>
    </w:p>
    <w:p>
      <w:pPr>
        <w:adjustRightInd w:val="0"/>
        <w:spacing w:line="360" w:lineRule="auto"/>
        <w:ind w:left="-53" w:leftChars="-25" w:right="53" w:rightChars="25" w:firstLine="496" w:firstLineChars="200"/>
        <w:jc w:val="center"/>
        <w:rPr>
          <w:rFonts w:ascii="宋体" w:hAnsi="宋体"/>
          <w:bCs/>
          <w:color w:val="auto"/>
          <w:spacing w:val="4"/>
          <w:sz w:val="24"/>
        </w:rPr>
      </w:pPr>
    </w:p>
    <w:p>
      <w:pPr>
        <w:adjustRightInd w:val="0"/>
        <w:spacing w:line="360" w:lineRule="auto"/>
        <w:ind w:left="-53" w:leftChars="-25" w:right="53" w:rightChars="25" w:firstLine="496" w:firstLineChars="200"/>
        <w:jc w:val="center"/>
        <w:rPr>
          <w:rFonts w:ascii="宋体" w:hAnsi="宋体"/>
          <w:bCs/>
          <w:color w:val="auto"/>
          <w:spacing w:val="4"/>
          <w:sz w:val="24"/>
        </w:rPr>
      </w:pPr>
      <w:r>
        <w:rPr>
          <w:rFonts w:hint="eastAsia" w:ascii="宋体" w:hAnsi="宋体"/>
          <w:bCs/>
          <w:color w:val="auto"/>
          <w:spacing w:val="4"/>
          <w:sz w:val="24"/>
        </w:rPr>
        <w:t>水泥混凝土面层技术指标表</w:t>
      </w:r>
    </w:p>
    <w:tbl>
      <w:tblPr>
        <w:tblStyle w:val="6"/>
        <w:tblW w:w="666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678" w:type="dxa"/>
            <w:tcBorders>
              <w:top w:val="single" w:color="auto" w:sz="12"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路面混凝土弯拉强度</w:t>
            </w:r>
          </w:p>
        </w:tc>
        <w:tc>
          <w:tcPr>
            <w:tcW w:w="1984" w:type="dxa"/>
            <w:tcBorders>
              <w:top w:val="single" w:color="auto" w:sz="12"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≥4.0MPa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路基顶面的综合回弹模量值</w:t>
            </w:r>
          </w:p>
        </w:tc>
        <w:tc>
          <w:tcPr>
            <w:tcW w:w="1984" w:type="dxa"/>
            <w:tcBorders>
              <w:top w:val="single" w:color="auto" w:sz="6"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≥40MPa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水泥混凝土路面最大平均气泡间距系数(</w:t>
            </w:r>
            <w:r>
              <w:rPr>
                <w:rFonts w:ascii="Arial" w:hAnsi="Arial" w:cs="Arial"/>
                <w:color w:val="auto"/>
                <w:szCs w:val="21"/>
                <w:shd w:val="clear" w:color="auto" w:fill="FFFFFF"/>
              </w:rPr>
              <w:t>μ</w:t>
            </w:r>
            <w:r>
              <w:rPr>
                <w:rFonts w:hint="eastAsia" w:ascii="宋体" w:cs="宋体"/>
                <w:color w:val="auto"/>
                <w:kern w:val="0"/>
                <w:szCs w:val="21"/>
              </w:rPr>
              <w:t>m)</w:t>
            </w:r>
          </w:p>
        </w:tc>
        <w:tc>
          <w:tcPr>
            <w:tcW w:w="1984" w:type="dxa"/>
            <w:tcBorders>
              <w:top w:val="single" w:color="auto" w:sz="6" w:space="0"/>
              <w:bottom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300</w:t>
            </w:r>
          </w:p>
        </w:tc>
      </w:tr>
    </w:tbl>
    <w:p>
      <w:pPr>
        <w:adjustRightInd w:val="0"/>
        <w:spacing w:line="180" w:lineRule="exact"/>
        <w:ind w:right="53" w:rightChars="25" w:firstLine="562" w:firstLineChars="200"/>
        <w:outlineLvl w:val="0"/>
        <w:rPr>
          <w:b/>
          <w:bCs/>
          <w:color w:val="auto"/>
          <w:sz w:val="28"/>
          <w:szCs w:val="28"/>
        </w:rPr>
      </w:pPr>
      <w:bookmarkStart w:id="2" w:name="_Hlk48546826"/>
    </w:p>
    <w:bookmarkEnd w:id="2"/>
    <w:p>
      <w:pPr>
        <w:adjustRightInd w:val="0"/>
        <w:spacing w:line="360" w:lineRule="auto"/>
        <w:ind w:right="53" w:rightChars="25" w:firstLine="480" w:firstLineChars="200"/>
        <w:outlineLvl w:val="0"/>
        <w:rPr>
          <w:color w:val="auto"/>
          <w:sz w:val="24"/>
        </w:rPr>
      </w:pPr>
      <w:r>
        <w:rPr>
          <w:rFonts w:hint="eastAsia"/>
          <w:color w:val="auto"/>
          <w:sz w:val="24"/>
        </w:rPr>
        <w:t>不同施工工艺水泥混凝土拌合物的现场坍落度宜为：</w:t>
      </w:r>
    </w:p>
    <w:p>
      <w:pPr>
        <w:adjustRightInd w:val="0"/>
        <w:spacing w:line="360" w:lineRule="auto"/>
        <w:ind w:right="53" w:rightChars="25" w:firstLine="480" w:firstLineChars="200"/>
        <w:jc w:val="center"/>
        <w:outlineLvl w:val="0"/>
        <w:rPr>
          <w:color w:val="auto"/>
          <w:sz w:val="24"/>
        </w:rPr>
      </w:pPr>
      <w:r>
        <w:rPr>
          <w:rFonts w:hint="eastAsia"/>
          <w:color w:val="auto"/>
          <w:sz w:val="24"/>
        </w:rPr>
        <w:t>水泥混凝土拌合物的现场坍落度</w:t>
      </w:r>
    </w:p>
    <w:tbl>
      <w:tblPr>
        <w:tblStyle w:val="6"/>
        <w:tblW w:w="666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678" w:type="dxa"/>
            <w:tcBorders>
              <w:top w:val="single" w:color="auto" w:sz="12"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滑模摊铺时,碎石混凝土的坍落度(</w:t>
            </w:r>
            <w:r>
              <w:rPr>
                <w:rFonts w:ascii="宋体" w:cs="宋体"/>
                <w:color w:val="auto"/>
                <w:kern w:val="0"/>
                <w:szCs w:val="21"/>
              </w:rPr>
              <w:t>mm)</w:t>
            </w:r>
          </w:p>
        </w:tc>
        <w:tc>
          <w:tcPr>
            <w:tcW w:w="1984" w:type="dxa"/>
            <w:tcBorders>
              <w:top w:val="single" w:color="auto" w:sz="12"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w:t>
            </w:r>
            <w:r>
              <w:rPr>
                <w:rFonts w:ascii="宋体" w:cs="宋体"/>
                <w:color w:val="auto"/>
                <w:kern w:val="0"/>
                <w:szCs w:val="21"/>
              </w:rPr>
              <w:t>0</w:t>
            </w:r>
            <w:r>
              <w:rPr>
                <w:rFonts w:hint="eastAsia" w:ascii="宋体" w:hAnsi="宋体"/>
                <w:color w:val="auto"/>
                <w:sz w:val="24"/>
              </w:rPr>
              <w:t>～</w:t>
            </w:r>
            <w:r>
              <w:rPr>
                <w:rFonts w:ascii="宋体" w:cs="宋体"/>
                <w:color w:val="auto"/>
                <w:kern w:val="0"/>
                <w:szCs w:val="21"/>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三滚轴机组摊铺时,</w:t>
            </w:r>
            <w:r>
              <w:rPr>
                <w:rFonts w:hint="eastAsia"/>
                <w:color w:val="auto"/>
                <w:szCs w:val="21"/>
              </w:rPr>
              <w:t>拌合物</w:t>
            </w:r>
            <w:r>
              <w:rPr>
                <w:rFonts w:hint="eastAsia" w:ascii="宋体" w:cs="宋体"/>
                <w:color w:val="auto"/>
                <w:kern w:val="0"/>
                <w:szCs w:val="21"/>
              </w:rPr>
              <w:t>的坍落度(</w:t>
            </w:r>
            <w:r>
              <w:rPr>
                <w:rFonts w:ascii="宋体" w:cs="宋体"/>
                <w:color w:val="auto"/>
                <w:kern w:val="0"/>
                <w:szCs w:val="21"/>
              </w:rPr>
              <w:t>mm)</w:t>
            </w:r>
          </w:p>
        </w:tc>
        <w:tc>
          <w:tcPr>
            <w:tcW w:w="1984" w:type="dxa"/>
            <w:tcBorders>
              <w:top w:val="single" w:color="auto" w:sz="6" w:space="0"/>
              <w:bottom w:val="single" w:color="auto" w:sz="6" w:space="0"/>
            </w:tcBorders>
            <w:vAlign w:val="center"/>
          </w:tcPr>
          <w:p>
            <w:pPr>
              <w:autoSpaceDE w:val="0"/>
              <w:autoSpaceDN w:val="0"/>
              <w:adjustRightInd w:val="0"/>
              <w:spacing w:line="360" w:lineRule="auto"/>
              <w:jc w:val="center"/>
              <w:rPr>
                <w:rFonts w:ascii="宋体" w:cs="宋体"/>
                <w:color w:val="auto"/>
                <w:kern w:val="0"/>
                <w:szCs w:val="21"/>
              </w:rPr>
            </w:pPr>
            <w:r>
              <w:rPr>
                <w:rFonts w:ascii="宋体" w:cs="宋体"/>
                <w:color w:val="auto"/>
                <w:kern w:val="0"/>
                <w:szCs w:val="21"/>
              </w:rPr>
              <w:t>20</w:t>
            </w:r>
            <w:r>
              <w:rPr>
                <w:rFonts w:hint="eastAsia" w:ascii="宋体" w:hAnsi="宋体"/>
                <w:color w:val="auto"/>
                <w:sz w:val="24"/>
              </w:rPr>
              <w:t>～</w:t>
            </w:r>
            <w:r>
              <w:rPr>
                <w:rFonts w:ascii="宋体" w:cs="宋体"/>
                <w:color w:val="auto"/>
                <w:kern w:val="0"/>
                <w:szCs w:val="21"/>
              </w:rPr>
              <w:t>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小型机具摊铺时,</w:t>
            </w:r>
            <w:r>
              <w:rPr>
                <w:rFonts w:hint="eastAsia"/>
                <w:color w:val="auto"/>
                <w:szCs w:val="21"/>
              </w:rPr>
              <w:t>拌合物</w:t>
            </w:r>
            <w:r>
              <w:rPr>
                <w:rFonts w:hint="eastAsia" w:ascii="宋体" w:cs="宋体"/>
                <w:color w:val="auto"/>
                <w:kern w:val="0"/>
                <w:szCs w:val="21"/>
              </w:rPr>
              <w:t>的坍落度(</w:t>
            </w:r>
            <w:r>
              <w:rPr>
                <w:rFonts w:ascii="宋体" w:cs="宋体"/>
                <w:color w:val="auto"/>
                <w:kern w:val="0"/>
                <w:szCs w:val="21"/>
              </w:rPr>
              <w:t>mm)</w:t>
            </w:r>
          </w:p>
        </w:tc>
        <w:tc>
          <w:tcPr>
            <w:tcW w:w="1984" w:type="dxa"/>
            <w:tcBorders>
              <w:top w:val="single" w:color="auto" w:sz="6" w:space="0"/>
              <w:bottom w:val="single" w:color="auto" w:sz="12" w:space="0"/>
            </w:tcBorders>
            <w:vAlign w:val="center"/>
          </w:tcPr>
          <w:p>
            <w:pPr>
              <w:autoSpaceDE w:val="0"/>
              <w:autoSpaceDN w:val="0"/>
              <w:adjustRightInd w:val="0"/>
              <w:spacing w:line="360" w:lineRule="auto"/>
              <w:jc w:val="center"/>
              <w:rPr>
                <w:rFonts w:ascii="宋体" w:cs="宋体"/>
                <w:color w:val="auto"/>
                <w:kern w:val="0"/>
                <w:szCs w:val="21"/>
              </w:rPr>
            </w:pPr>
            <w:r>
              <w:rPr>
                <w:rFonts w:ascii="宋体" w:cs="宋体"/>
                <w:color w:val="auto"/>
                <w:kern w:val="0"/>
                <w:szCs w:val="21"/>
              </w:rPr>
              <w:t>5</w:t>
            </w:r>
            <w:r>
              <w:rPr>
                <w:rFonts w:hint="eastAsia" w:ascii="宋体" w:hAnsi="宋体"/>
                <w:color w:val="auto"/>
                <w:sz w:val="24"/>
              </w:rPr>
              <w:t>～</w:t>
            </w:r>
            <w:r>
              <w:rPr>
                <w:rFonts w:ascii="宋体" w:cs="宋体"/>
                <w:color w:val="auto"/>
                <w:kern w:val="0"/>
                <w:szCs w:val="21"/>
              </w:rPr>
              <w:t>20</w:t>
            </w:r>
          </w:p>
        </w:tc>
      </w:tr>
    </w:tbl>
    <w:p>
      <w:pPr>
        <w:adjustRightInd w:val="0"/>
        <w:spacing w:line="180" w:lineRule="exact"/>
        <w:ind w:right="53" w:rightChars="25" w:firstLine="562" w:firstLineChars="200"/>
        <w:outlineLvl w:val="0"/>
        <w:rPr>
          <w:b/>
          <w:bCs/>
          <w:color w:val="auto"/>
          <w:sz w:val="28"/>
          <w:szCs w:val="28"/>
        </w:rPr>
      </w:pPr>
    </w:p>
    <w:p>
      <w:pPr>
        <w:adjustRightInd w:val="0"/>
        <w:spacing w:line="360" w:lineRule="auto"/>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4.4路基、路面排水</w:t>
      </w:r>
    </w:p>
    <w:p>
      <w:pPr>
        <w:pStyle w:val="3"/>
        <w:spacing w:line="440" w:lineRule="exact"/>
        <w:ind w:firstLine="496" w:firstLineChars="200"/>
        <w:outlineLvl w:val="0"/>
        <w:rPr>
          <w:rFonts w:hint="eastAsia" w:ascii="宋体" w:hAnsi="宋体"/>
          <w:color w:val="auto"/>
          <w:spacing w:val="4"/>
          <w:sz w:val="24"/>
          <w:lang w:val="zh-CN"/>
        </w:rPr>
      </w:pPr>
      <w:r>
        <w:rPr>
          <w:rFonts w:hint="eastAsia" w:ascii="宋体" w:hAnsi="宋体"/>
          <w:color w:val="auto"/>
          <w:spacing w:val="4"/>
          <w:sz w:val="24"/>
          <w:lang w:val="zh-CN"/>
        </w:rPr>
        <w:t>经现场勘查，原旧路排水系统不能够完全满足排水要求，部分段落存在淤堵、排水不畅现象，本次设计排水系统，新建</w:t>
      </w:r>
      <w:r>
        <w:rPr>
          <w:rFonts w:hint="eastAsia" w:hAnsi="宋体"/>
          <w:color w:val="auto"/>
          <w:spacing w:val="4"/>
          <w:sz w:val="24"/>
          <w:lang w:val="en-US" w:eastAsia="zh-CN"/>
        </w:rPr>
        <w:t>混凝土</w:t>
      </w:r>
      <w:r>
        <w:rPr>
          <w:rFonts w:hint="eastAsia" w:ascii="宋体" w:hAnsi="宋体"/>
          <w:color w:val="auto"/>
          <w:spacing w:val="4"/>
          <w:sz w:val="24"/>
          <w:lang w:val="zh-CN"/>
        </w:rPr>
        <w:t>排水边沟，下口宽</w:t>
      </w:r>
      <w:r>
        <w:rPr>
          <w:rFonts w:hint="eastAsia" w:hAnsi="宋体"/>
          <w:color w:val="auto"/>
          <w:spacing w:val="4"/>
          <w:sz w:val="24"/>
          <w:lang w:val="en-US" w:eastAsia="zh-CN"/>
        </w:rPr>
        <w:t>80</w:t>
      </w:r>
      <w:r>
        <w:rPr>
          <w:rFonts w:hint="eastAsia" w:ascii="宋体" w:hAnsi="宋体"/>
          <w:color w:val="auto"/>
          <w:spacing w:val="4"/>
          <w:sz w:val="24"/>
          <w:lang w:val="zh-CN"/>
        </w:rPr>
        <w:t>cm、上口宽</w:t>
      </w:r>
      <w:r>
        <w:rPr>
          <w:rFonts w:hint="eastAsia" w:hAnsi="宋体"/>
          <w:color w:val="auto"/>
          <w:spacing w:val="4"/>
          <w:sz w:val="24"/>
          <w:lang w:val="en-US" w:eastAsia="zh-CN"/>
        </w:rPr>
        <w:t>80</w:t>
      </w:r>
      <w:r>
        <w:rPr>
          <w:rFonts w:hint="eastAsia" w:ascii="宋体" w:hAnsi="宋体"/>
          <w:color w:val="auto"/>
          <w:spacing w:val="4"/>
          <w:sz w:val="24"/>
          <w:lang w:val="zh-CN"/>
        </w:rPr>
        <w:t>cm、深</w:t>
      </w:r>
      <w:r>
        <w:rPr>
          <w:rFonts w:hint="eastAsia" w:hAnsi="宋体"/>
          <w:color w:val="auto"/>
          <w:spacing w:val="4"/>
          <w:sz w:val="24"/>
          <w:lang w:val="en-US" w:eastAsia="zh-CN"/>
        </w:rPr>
        <w:t>80</w:t>
      </w:r>
      <w:r>
        <w:rPr>
          <w:rFonts w:hint="eastAsia" w:ascii="宋体" w:hAnsi="宋体"/>
          <w:color w:val="auto"/>
          <w:spacing w:val="4"/>
          <w:sz w:val="24"/>
          <w:lang w:val="zh-CN"/>
        </w:rPr>
        <w:t>cm，长度为</w:t>
      </w:r>
      <w:r>
        <w:rPr>
          <w:rFonts w:hint="eastAsia" w:hAnsi="宋体"/>
          <w:color w:val="auto"/>
          <w:spacing w:val="4"/>
          <w:sz w:val="24"/>
          <w:lang w:val="en-US" w:eastAsia="zh-CN"/>
        </w:rPr>
        <w:t>95</w:t>
      </w:r>
      <w:r>
        <w:rPr>
          <w:rFonts w:hint="eastAsia" w:ascii="宋体" w:hAnsi="宋体"/>
          <w:color w:val="auto"/>
          <w:spacing w:val="4"/>
          <w:sz w:val="24"/>
          <w:lang w:val="zh-CN"/>
        </w:rPr>
        <w:t>m。</w:t>
      </w:r>
    </w:p>
    <w:p>
      <w:pPr>
        <w:adjustRightInd w:val="0"/>
        <w:spacing w:line="360" w:lineRule="auto"/>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4.5桥梁涵洞</w:t>
      </w:r>
    </w:p>
    <w:p>
      <w:pPr>
        <w:pStyle w:val="3"/>
        <w:spacing w:line="440" w:lineRule="exact"/>
        <w:ind w:firstLine="496" w:firstLineChars="200"/>
        <w:outlineLvl w:val="0"/>
        <w:rPr>
          <w:rFonts w:hint="eastAsia" w:ascii="宋体" w:hAnsi="宋体"/>
          <w:color w:val="auto"/>
          <w:spacing w:val="4"/>
          <w:sz w:val="24"/>
        </w:rPr>
      </w:pPr>
      <w:r>
        <w:rPr>
          <w:rFonts w:hint="eastAsia" w:ascii="宋体" w:hAnsi="宋体"/>
          <w:color w:val="auto"/>
          <w:spacing w:val="4"/>
          <w:sz w:val="24"/>
        </w:rPr>
        <w:t>为了方便道路两侧路边沟排水，在K0+</w:t>
      </w:r>
      <w:r>
        <w:rPr>
          <w:rFonts w:hint="eastAsia" w:hAnsi="宋体"/>
          <w:color w:val="auto"/>
          <w:spacing w:val="4"/>
          <w:sz w:val="24"/>
          <w:lang w:val="en-US" w:eastAsia="zh-CN"/>
        </w:rPr>
        <w:t>453、</w:t>
      </w:r>
      <w:r>
        <w:rPr>
          <w:rFonts w:hint="eastAsia" w:ascii="宋体" w:hAnsi="宋体"/>
          <w:color w:val="auto"/>
          <w:spacing w:val="4"/>
          <w:sz w:val="24"/>
        </w:rPr>
        <w:t>K0+</w:t>
      </w:r>
      <w:r>
        <w:rPr>
          <w:rFonts w:hint="eastAsia" w:hAnsi="宋体"/>
          <w:color w:val="auto"/>
          <w:spacing w:val="4"/>
          <w:sz w:val="24"/>
          <w:lang w:val="en-US" w:eastAsia="zh-CN"/>
        </w:rPr>
        <w:t>544处各</w:t>
      </w:r>
      <w:r>
        <w:rPr>
          <w:rFonts w:hint="eastAsia" w:ascii="宋体" w:hAnsi="宋体"/>
          <w:color w:val="auto"/>
          <w:spacing w:val="4"/>
          <w:sz w:val="24"/>
        </w:rPr>
        <w:t>设置一道直径</w:t>
      </w:r>
      <w:r>
        <w:rPr>
          <w:rFonts w:hint="eastAsia" w:hAnsi="宋体"/>
          <w:color w:val="auto"/>
          <w:spacing w:val="4"/>
          <w:sz w:val="24"/>
          <w:lang w:val="en-US" w:eastAsia="zh-CN"/>
        </w:rPr>
        <w:t>80</w:t>
      </w:r>
      <w:r>
        <w:rPr>
          <w:rFonts w:hint="eastAsia" w:ascii="宋体" w:hAnsi="宋体"/>
          <w:color w:val="auto"/>
          <w:spacing w:val="4"/>
          <w:sz w:val="24"/>
        </w:rPr>
        <w:t>厘米的钢筋混凝土圆管涵（</w:t>
      </w:r>
      <w:r>
        <w:rPr>
          <w:rFonts w:hint="eastAsia" w:ascii="宋体" w:hAnsi="宋体"/>
          <w:color w:val="auto"/>
          <w:spacing w:val="4"/>
          <w:sz w:val="24"/>
          <w:lang w:val="en-US" w:eastAsia="zh-CN"/>
        </w:rPr>
        <w:t>一字墙</w:t>
      </w:r>
      <w:r>
        <w:rPr>
          <w:rFonts w:hint="eastAsia" w:ascii="宋体" w:hAnsi="宋体"/>
          <w:color w:val="auto"/>
          <w:spacing w:val="4"/>
          <w:sz w:val="24"/>
        </w:rPr>
        <w:t>）</w:t>
      </w:r>
      <w:r>
        <w:rPr>
          <w:rFonts w:hint="eastAsia" w:hAnsi="宋体"/>
          <w:color w:val="auto"/>
          <w:spacing w:val="4"/>
          <w:sz w:val="24"/>
          <w:lang w:eastAsia="zh-CN"/>
        </w:rPr>
        <w:t>，</w:t>
      </w:r>
      <w:r>
        <w:rPr>
          <w:rFonts w:hint="eastAsia" w:ascii="宋体" w:hAnsi="宋体"/>
          <w:color w:val="auto"/>
          <w:spacing w:val="4"/>
          <w:sz w:val="24"/>
        </w:rPr>
        <w:t>在K0+</w:t>
      </w:r>
      <w:r>
        <w:rPr>
          <w:rFonts w:hint="eastAsia" w:hAnsi="宋体"/>
          <w:color w:val="auto"/>
          <w:spacing w:val="4"/>
          <w:sz w:val="24"/>
          <w:lang w:val="en-US" w:eastAsia="zh-CN"/>
        </w:rPr>
        <w:t>804处</w:t>
      </w:r>
      <w:r>
        <w:rPr>
          <w:rFonts w:hint="eastAsia" w:ascii="宋体" w:hAnsi="宋体"/>
          <w:color w:val="auto"/>
          <w:spacing w:val="4"/>
          <w:sz w:val="24"/>
        </w:rPr>
        <w:t>设置一道直径</w:t>
      </w:r>
      <w:r>
        <w:rPr>
          <w:rFonts w:hint="eastAsia" w:hAnsi="宋体"/>
          <w:color w:val="auto"/>
          <w:spacing w:val="4"/>
          <w:sz w:val="24"/>
          <w:lang w:val="en-US" w:eastAsia="zh-CN"/>
        </w:rPr>
        <w:t>100</w:t>
      </w:r>
      <w:r>
        <w:rPr>
          <w:rFonts w:hint="eastAsia" w:ascii="宋体" w:hAnsi="宋体"/>
          <w:color w:val="auto"/>
          <w:spacing w:val="4"/>
          <w:sz w:val="24"/>
        </w:rPr>
        <w:t>厘米的钢筋混凝土圆管涵（</w:t>
      </w:r>
      <w:r>
        <w:rPr>
          <w:rFonts w:hint="eastAsia" w:ascii="宋体" w:hAnsi="宋体"/>
          <w:color w:val="auto"/>
          <w:spacing w:val="4"/>
          <w:sz w:val="24"/>
          <w:lang w:val="en-US" w:eastAsia="zh-CN"/>
        </w:rPr>
        <w:t>一字墙</w:t>
      </w:r>
      <w:r>
        <w:rPr>
          <w:rFonts w:hint="eastAsia" w:ascii="宋体" w:hAnsi="宋体"/>
          <w:color w:val="auto"/>
          <w:spacing w:val="4"/>
          <w:sz w:val="24"/>
        </w:rPr>
        <w:t>）。</w:t>
      </w:r>
    </w:p>
    <w:p>
      <w:pPr>
        <w:adjustRightInd w:val="0"/>
        <w:spacing w:line="360" w:lineRule="auto"/>
        <w:ind w:right="53" w:rightChars="25" w:firstLine="578" w:firstLineChars="200"/>
        <w:outlineLvl w:val="0"/>
        <w:rPr>
          <w:rFonts w:hint="eastAsia" w:ascii="宋体" w:hAnsi="宋体"/>
          <w:b/>
          <w:color w:val="auto"/>
          <w:spacing w:val="4"/>
          <w:sz w:val="28"/>
          <w:szCs w:val="28"/>
        </w:rPr>
      </w:pPr>
      <w:r>
        <w:rPr>
          <w:rFonts w:hint="eastAsia" w:ascii="宋体" w:hAnsi="宋体"/>
          <w:b/>
          <w:color w:val="auto"/>
          <w:spacing w:val="4"/>
          <w:sz w:val="28"/>
          <w:szCs w:val="28"/>
        </w:rPr>
        <w:t>4.</w:t>
      </w:r>
      <w:r>
        <w:rPr>
          <w:rFonts w:hint="eastAsia" w:ascii="宋体" w:hAnsi="宋体"/>
          <w:b/>
          <w:color w:val="auto"/>
          <w:spacing w:val="4"/>
          <w:sz w:val="28"/>
          <w:szCs w:val="28"/>
          <w:lang w:val="en-US" w:eastAsia="zh-CN"/>
        </w:rPr>
        <w:t>6</w:t>
      </w:r>
      <w:r>
        <w:rPr>
          <w:rFonts w:hint="eastAsia" w:ascii="宋体" w:hAnsi="宋体"/>
          <w:b/>
          <w:color w:val="auto"/>
          <w:spacing w:val="4"/>
          <w:sz w:val="28"/>
          <w:szCs w:val="28"/>
        </w:rPr>
        <w:t>路面维修、设计方案</w:t>
      </w:r>
    </w:p>
    <w:p>
      <w:pPr>
        <w:pStyle w:val="3"/>
        <w:spacing w:line="440" w:lineRule="exact"/>
        <w:ind w:firstLine="482" w:firstLineChars="200"/>
        <w:outlineLvl w:val="0"/>
        <w:rPr>
          <w:rFonts w:hAnsi="宋体" w:cs="宋体"/>
          <w:b/>
          <w:bCs/>
          <w:sz w:val="24"/>
          <w:szCs w:val="24"/>
        </w:rPr>
      </w:pPr>
      <w:r>
        <w:rPr>
          <w:rFonts w:hAnsi="宋体" w:cs="宋体"/>
          <w:b/>
          <w:bCs/>
          <w:sz w:val="24"/>
          <w:szCs w:val="24"/>
        </w:rPr>
        <w:t>4.</w:t>
      </w:r>
      <w:r>
        <w:rPr>
          <w:rFonts w:hint="eastAsia" w:hAnsi="宋体" w:cs="宋体"/>
          <w:b/>
          <w:bCs/>
          <w:sz w:val="24"/>
          <w:szCs w:val="24"/>
          <w:lang w:val="en-US" w:eastAsia="zh-CN"/>
        </w:rPr>
        <w:t>6</w:t>
      </w:r>
      <w:r>
        <w:rPr>
          <w:rFonts w:hint="eastAsia" w:hAnsi="宋体" w:cs="宋体"/>
          <w:b/>
          <w:bCs/>
          <w:sz w:val="24"/>
          <w:szCs w:val="24"/>
        </w:rPr>
        <w:t>.1设计原则</w:t>
      </w:r>
    </w:p>
    <w:p>
      <w:pPr>
        <w:spacing w:line="440" w:lineRule="exact"/>
        <w:ind w:firstLine="480" w:firstLineChars="200"/>
        <w:rPr>
          <w:rFonts w:ascii="宋体" w:hAnsi="宋体" w:cs="宋体"/>
          <w:sz w:val="24"/>
        </w:rPr>
      </w:pPr>
      <w:r>
        <w:rPr>
          <w:rFonts w:hint="eastAsia" w:ascii="宋体" w:hAnsi="宋体" w:cs="宋体"/>
          <w:sz w:val="24"/>
        </w:rPr>
        <w:t>(1)、保持和改善路面的使用功能，确保路面应有的耐久性；</w:t>
      </w:r>
    </w:p>
    <w:p>
      <w:pPr>
        <w:spacing w:line="440" w:lineRule="exact"/>
        <w:ind w:firstLine="480" w:firstLineChars="200"/>
        <w:rPr>
          <w:rFonts w:ascii="宋体" w:hAnsi="宋体" w:cs="宋体"/>
          <w:sz w:val="24"/>
        </w:rPr>
      </w:pPr>
      <w:r>
        <w:rPr>
          <w:rFonts w:hint="eastAsia" w:ascii="宋体" w:hAnsi="宋体" w:cs="宋体"/>
          <w:sz w:val="24"/>
        </w:rPr>
        <w:t>(2)、保持和改善路面行车的安全性、舒适性，确保路面的行驶性能；</w:t>
      </w:r>
    </w:p>
    <w:p>
      <w:pPr>
        <w:spacing w:line="440" w:lineRule="exact"/>
        <w:ind w:firstLine="480" w:firstLineChars="200"/>
        <w:rPr>
          <w:rFonts w:ascii="宋体" w:hAnsi="宋体" w:cs="宋体"/>
          <w:sz w:val="24"/>
        </w:rPr>
      </w:pPr>
      <w:r>
        <w:rPr>
          <w:rFonts w:hint="eastAsia" w:ascii="宋体" w:hAnsi="宋体" w:cs="宋体"/>
          <w:sz w:val="24"/>
        </w:rPr>
        <w:t>(3)、防止因路面的损坏和养护操作不当而污染沿线的环境；</w:t>
      </w:r>
    </w:p>
    <w:p>
      <w:pPr>
        <w:spacing w:line="440" w:lineRule="exact"/>
        <w:ind w:firstLine="480" w:firstLineChars="200"/>
        <w:rPr>
          <w:rFonts w:ascii="宋体" w:hAnsi="宋体" w:cs="宋体"/>
          <w:sz w:val="24"/>
        </w:rPr>
      </w:pPr>
      <w:r>
        <w:rPr>
          <w:rFonts w:hint="eastAsia" w:ascii="宋体" w:hAnsi="宋体" w:cs="宋体"/>
          <w:sz w:val="24"/>
        </w:rPr>
        <w:t>(4)、平面线形沿用原有线形，纵断线形根据补强厚度予以设计.</w:t>
      </w:r>
    </w:p>
    <w:p>
      <w:pPr>
        <w:spacing w:line="440" w:lineRule="exact"/>
        <w:ind w:firstLine="480" w:firstLineChars="200"/>
        <w:rPr>
          <w:rFonts w:ascii="宋体" w:hAnsi="宋体" w:cs="宋体"/>
          <w:sz w:val="24"/>
        </w:rPr>
      </w:pPr>
      <w:r>
        <w:rPr>
          <w:rFonts w:ascii="宋体" w:hAnsi="宋体" w:cs="宋体"/>
          <w:sz w:val="24"/>
        </w:rPr>
        <w:pict>
          <v:shape id="文本框 111" o:spid="_x0000_s1026" o:spt="202" type="#_x0000_t202" style="position:absolute;left:0pt;margin-left:975.65pt;margin-top:-705.6pt;height:63pt;width:81pt;z-index:251662336;mso-width-relative:page;mso-height-relative:page;" filled="f" stroked="f" coordsize="21600,21600">
            <v:path/>
            <v:fill on="f" focussize="0,0"/>
            <v:stroke on="f" joinstyle="miter"/>
            <v:imagedata o:title=""/>
            <o:lock v:ext="edit"/>
            <v:textbox>
              <w:txbxContent>
                <w:p>
                  <w:pPr>
                    <w:rPr>
                      <w:rFonts w:ascii="宋体" w:hAnsi="宋体"/>
                      <w:b/>
                      <w:sz w:val="32"/>
                    </w:rPr>
                  </w:pPr>
                  <w:r>
                    <w:rPr>
                      <w:rFonts w:hint="eastAsia" w:ascii="宋体" w:hAnsi="宋体"/>
                      <w:b/>
                      <w:sz w:val="32"/>
                    </w:rPr>
                    <w:t>004</w:t>
                  </w:r>
                </w:p>
                <w:p>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(5)、充分考虑交通量中重载交通的比重较大的客观因素，在路面结构设计中预留一定的强度储备；</w:t>
      </w:r>
    </w:p>
    <w:p>
      <w:pPr>
        <w:spacing w:line="440" w:lineRule="exact"/>
        <w:ind w:firstLine="480" w:firstLineChars="200"/>
        <w:rPr>
          <w:rFonts w:ascii="宋体" w:hAnsi="宋体" w:cs="宋体"/>
          <w:sz w:val="24"/>
        </w:rPr>
      </w:pPr>
      <w:r>
        <w:rPr>
          <w:rFonts w:hint="eastAsia" w:ascii="宋体" w:hAnsi="宋体" w:cs="宋体"/>
          <w:sz w:val="24"/>
        </w:rPr>
        <w:t>(6)、全线按一次性完全修复设计。</w:t>
      </w:r>
    </w:p>
    <w:p>
      <w:pPr>
        <w:spacing w:line="440" w:lineRule="exact"/>
        <w:ind w:firstLine="480" w:firstLineChars="200"/>
        <w:rPr>
          <w:rFonts w:ascii="宋体" w:hAnsi="宋体" w:cs="宋体"/>
          <w:sz w:val="24"/>
        </w:rPr>
      </w:pPr>
      <w:r>
        <w:rPr>
          <w:rFonts w:hint="eastAsia" w:ascii="宋体" w:hAnsi="宋体" w:cs="宋体"/>
          <w:sz w:val="24"/>
        </w:rPr>
        <w:t>根据上述原则和沿线路面使用状况调查资料，并根据路面状况指数确定维修方案。</w:t>
      </w:r>
    </w:p>
    <w:p>
      <w:pPr>
        <w:pStyle w:val="3"/>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lang w:val="en-US" w:eastAsia="zh-CN"/>
        </w:rPr>
        <w:t>6</w:t>
      </w:r>
      <w:r>
        <w:rPr>
          <w:rFonts w:hint="eastAsia" w:hAnsi="宋体" w:cs="宋体"/>
          <w:b/>
          <w:bCs/>
          <w:sz w:val="24"/>
          <w:szCs w:val="24"/>
        </w:rPr>
        <w:t>.</w:t>
      </w:r>
      <w:r>
        <w:rPr>
          <w:rFonts w:hint="eastAsia" w:hAnsi="宋体" w:cs="宋体"/>
          <w:b/>
          <w:bCs/>
          <w:sz w:val="24"/>
          <w:szCs w:val="24"/>
          <w:lang w:val="en-US" w:eastAsia="zh-CN"/>
        </w:rPr>
        <w:t>2</w:t>
      </w:r>
      <w:r>
        <w:rPr>
          <w:rFonts w:hint="eastAsia" w:hAnsi="宋体" w:cs="宋体"/>
          <w:b/>
          <w:bCs/>
          <w:sz w:val="24"/>
          <w:szCs w:val="24"/>
        </w:rPr>
        <w:t>病害处理</w:t>
      </w:r>
    </w:p>
    <w:p>
      <w:pPr>
        <w:spacing w:line="440" w:lineRule="exact"/>
        <w:ind w:firstLine="480" w:firstLineChars="200"/>
        <w:rPr>
          <w:rFonts w:ascii="宋体" w:hAnsi="宋体" w:cs="宋体"/>
          <w:sz w:val="24"/>
        </w:rPr>
      </w:pPr>
      <w:r>
        <w:rPr>
          <w:rFonts w:ascii="宋体" w:hAnsi="宋体" w:cs="宋体"/>
          <w:sz w:val="24"/>
        </w:rPr>
        <w:pict>
          <v:shape id="文本框 112" o:spid="_x0000_s1027" o:spt="202" type="#_x0000_t202" style="position:absolute;left:0pt;margin-left:991.55pt;margin-top:-704.75pt;height:63pt;width:81pt;z-index:251664384;mso-width-relative:page;mso-height-relative:page;" filled="f" stroked="f" coordsize="21600,21600">
            <v:path/>
            <v:fill on="f" focussize="0,0"/>
            <v:stroke on="f" joinstyle="miter"/>
            <v:imagedata o:title=""/>
            <o:lock v:ext="edit"/>
            <v:textbox>
              <w:txbxContent>
                <w:p>
                  <w:pPr>
                    <w:rPr>
                      <w:rFonts w:ascii="宋体" w:hAnsi="宋体"/>
                      <w:b/>
                      <w:sz w:val="32"/>
                    </w:rPr>
                  </w:pPr>
                  <w:r>
                    <w:rPr>
                      <w:rFonts w:hint="eastAsia" w:ascii="宋体" w:hAnsi="宋体"/>
                      <w:b/>
                      <w:sz w:val="32"/>
                    </w:rPr>
                    <w:t>005</w:t>
                  </w:r>
                </w:p>
                <w:p>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施工前，应对原有公路路面病害进行处理。根据《公路养护技术规范》（JTGH10-2009）、《公路水泥混凝土路面设计规范》（JTG D40-2015），我公司对路面的破损情况进行详细的调查，并根据调查结果进行定量分析，最后确定路面维修方案及病害处理的设计原则。</w:t>
      </w:r>
    </w:p>
    <w:p>
      <w:pPr>
        <w:spacing w:line="440" w:lineRule="exact"/>
        <w:ind w:firstLine="480" w:firstLineChars="200"/>
        <w:rPr>
          <w:rFonts w:ascii="宋体" w:hAnsi="宋体" w:cs="宋体"/>
          <w:sz w:val="24"/>
        </w:rPr>
      </w:pPr>
      <w:r>
        <w:rPr>
          <w:rFonts w:hint="eastAsia" w:ascii="宋体" w:hAnsi="宋体" w:cs="宋体"/>
          <w:sz w:val="24"/>
        </w:rPr>
        <w:t>路面病害处理：</w:t>
      </w:r>
    </w:p>
    <w:p>
      <w:pPr>
        <w:spacing w:line="440" w:lineRule="exact"/>
        <w:ind w:firstLine="480" w:firstLineChars="200"/>
        <w:rPr>
          <w:rFonts w:ascii="宋体" w:hAnsi="宋体" w:cs="宋体"/>
          <w:color w:val="0000FF"/>
          <w:sz w:val="24"/>
        </w:rPr>
      </w:pPr>
      <w:r>
        <w:rPr>
          <w:rFonts w:hint="eastAsia" w:ascii="宋体" w:hAnsi="宋体" w:cs="宋体"/>
          <w:color w:val="0000FF"/>
          <w:sz w:val="24"/>
        </w:rPr>
        <w:t>破碎类：挖出旧路路面，铺筑20cm水泥稳定碎石（</w:t>
      </w:r>
      <w:r>
        <w:rPr>
          <w:rFonts w:ascii="宋体" w:hAnsi="宋体" w:cs="宋体"/>
          <w:color w:val="0000FF"/>
          <w:sz w:val="24"/>
        </w:rPr>
        <w:t>5</w:t>
      </w:r>
      <w:r>
        <w:rPr>
          <w:rFonts w:hint="eastAsia" w:ascii="宋体" w:hAnsi="宋体" w:cs="宋体"/>
          <w:color w:val="0000FF"/>
          <w:sz w:val="24"/>
        </w:rPr>
        <w:t>:9</w:t>
      </w:r>
      <w:r>
        <w:rPr>
          <w:rFonts w:ascii="宋体" w:hAnsi="宋体" w:cs="宋体"/>
          <w:color w:val="0000FF"/>
          <w:sz w:val="24"/>
        </w:rPr>
        <w:t>5</w:t>
      </w:r>
      <w:r>
        <w:rPr>
          <w:rFonts w:hint="eastAsia" w:ascii="宋体" w:hAnsi="宋体" w:cs="宋体"/>
          <w:color w:val="0000FF"/>
          <w:sz w:val="24"/>
        </w:rPr>
        <w:t>）基层。</w:t>
      </w:r>
    </w:p>
    <w:p>
      <w:pPr>
        <w:adjustRightInd w:val="0"/>
        <w:spacing w:line="360" w:lineRule="auto"/>
        <w:ind w:right="53" w:rightChars="25" w:firstLine="578" w:firstLineChars="200"/>
        <w:outlineLvl w:val="0"/>
        <w:rPr>
          <w:rFonts w:hint="eastAsia" w:ascii="宋体" w:hAnsi="宋体"/>
          <w:b/>
          <w:color w:val="auto"/>
          <w:spacing w:val="4"/>
          <w:sz w:val="28"/>
          <w:szCs w:val="28"/>
        </w:rPr>
      </w:pPr>
      <w:r>
        <w:rPr>
          <w:rFonts w:hint="eastAsia" w:ascii="宋体" w:hAnsi="宋体"/>
          <w:b/>
          <w:color w:val="auto"/>
          <w:spacing w:val="4"/>
          <w:sz w:val="28"/>
          <w:szCs w:val="28"/>
        </w:rPr>
        <w:t>4.</w:t>
      </w:r>
      <w:r>
        <w:rPr>
          <w:rFonts w:hint="eastAsia" w:ascii="宋体" w:hAnsi="宋体"/>
          <w:b/>
          <w:color w:val="auto"/>
          <w:spacing w:val="4"/>
          <w:sz w:val="28"/>
          <w:szCs w:val="28"/>
          <w:lang w:val="en-US" w:eastAsia="zh-CN"/>
        </w:rPr>
        <w:t>7</w:t>
      </w:r>
      <w:r>
        <w:rPr>
          <w:rFonts w:hint="eastAsia" w:ascii="宋体" w:hAnsi="宋体"/>
          <w:b/>
          <w:color w:val="auto"/>
          <w:spacing w:val="4"/>
          <w:sz w:val="28"/>
          <w:szCs w:val="28"/>
        </w:rPr>
        <w:t>路基支挡墙防护</w:t>
      </w:r>
    </w:p>
    <w:p>
      <w:pPr>
        <w:adjustRightInd w:val="0"/>
        <w:spacing w:line="360" w:lineRule="auto"/>
        <w:ind w:right="53" w:rightChars="25" w:firstLine="496" w:firstLineChars="200"/>
        <w:outlineLvl w:val="0"/>
        <w:rPr>
          <w:rFonts w:hint="eastAsia" w:ascii="宋体" w:hAnsi="宋体" w:cs="宋体"/>
          <w:bCs/>
          <w:color w:val="0000FF"/>
          <w:spacing w:val="4"/>
          <w:sz w:val="24"/>
        </w:rPr>
      </w:pPr>
      <w:r>
        <w:rPr>
          <w:rFonts w:hint="eastAsia" w:ascii="宋体" w:hAnsi="宋体" w:cs="宋体"/>
          <w:bCs/>
          <w:color w:val="0000FF"/>
          <w:spacing w:val="4"/>
          <w:sz w:val="24"/>
        </w:rPr>
        <w:t>在</w:t>
      </w:r>
      <w:r>
        <w:rPr>
          <w:rFonts w:hint="eastAsia" w:ascii="宋体" w:hAnsi="宋体" w:cs="宋体"/>
          <w:bCs/>
          <w:color w:val="0000FF"/>
          <w:spacing w:val="4"/>
          <w:sz w:val="24"/>
          <w:lang w:val="en-US" w:eastAsia="zh-CN"/>
        </w:rPr>
        <w:t>路线</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034～</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061、</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278～</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327、</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474～</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492、</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994～</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014、</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014～</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030、</w:t>
      </w:r>
      <w:r>
        <w:rPr>
          <w:rFonts w:hint="eastAsia" w:ascii="宋体" w:hAnsi="宋体" w:cs="宋体"/>
          <w:bCs/>
          <w:color w:val="0000FF"/>
          <w:spacing w:val="4"/>
          <w:sz w:val="24"/>
        </w:rPr>
        <w:t>K0+</w:t>
      </w:r>
      <w:r>
        <w:rPr>
          <w:rFonts w:hint="eastAsia" w:ascii="宋体" w:hAnsi="宋体" w:cs="宋体"/>
          <w:bCs/>
          <w:color w:val="0000FF"/>
          <w:spacing w:val="4"/>
          <w:sz w:val="24"/>
          <w:lang w:val="en-US" w:eastAsia="zh-CN"/>
        </w:rPr>
        <w:t>994～</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017、</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079～</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144、</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079～</w:t>
      </w:r>
      <w:r>
        <w:rPr>
          <w:rFonts w:hint="eastAsia" w:ascii="宋体" w:hAnsi="宋体" w:cs="宋体"/>
          <w:bCs/>
          <w:color w:val="0000FF"/>
          <w:spacing w:val="4"/>
          <w:sz w:val="24"/>
        </w:rPr>
        <w:t>K</w:t>
      </w:r>
      <w:r>
        <w:rPr>
          <w:rFonts w:hint="eastAsia" w:ascii="宋体" w:hAnsi="宋体" w:cs="宋体"/>
          <w:bCs/>
          <w:color w:val="0000FF"/>
          <w:spacing w:val="4"/>
          <w:sz w:val="24"/>
          <w:lang w:val="en-US" w:eastAsia="zh-CN"/>
        </w:rPr>
        <w:t>1</w:t>
      </w:r>
      <w:r>
        <w:rPr>
          <w:rFonts w:hint="eastAsia" w:ascii="宋体" w:hAnsi="宋体" w:cs="宋体"/>
          <w:bCs/>
          <w:color w:val="0000FF"/>
          <w:spacing w:val="4"/>
          <w:sz w:val="24"/>
        </w:rPr>
        <w:t>+</w:t>
      </w:r>
      <w:r>
        <w:rPr>
          <w:rFonts w:hint="eastAsia" w:ascii="宋体" w:hAnsi="宋体" w:cs="宋体"/>
          <w:bCs/>
          <w:color w:val="0000FF"/>
          <w:spacing w:val="4"/>
          <w:sz w:val="24"/>
          <w:lang w:val="en-US" w:eastAsia="zh-CN"/>
        </w:rPr>
        <w:t>085</w:t>
      </w:r>
      <w:r>
        <w:rPr>
          <w:rFonts w:hint="eastAsia" w:ascii="宋体" w:hAnsi="宋体" w:cs="宋体"/>
          <w:bCs/>
          <w:color w:val="0000FF"/>
          <w:spacing w:val="4"/>
          <w:sz w:val="24"/>
        </w:rPr>
        <w:t>设置</w:t>
      </w:r>
      <w:r>
        <w:rPr>
          <w:rFonts w:hint="eastAsia" w:ascii="宋体" w:hAnsi="宋体" w:cs="宋体"/>
          <w:bCs/>
          <w:color w:val="0000FF"/>
          <w:spacing w:val="4"/>
          <w:sz w:val="24"/>
          <w:lang w:val="en-US" w:eastAsia="zh-CN"/>
        </w:rPr>
        <w:t>浆砌片石挡墙</w:t>
      </w:r>
      <w:r>
        <w:rPr>
          <w:rFonts w:hint="eastAsia" w:ascii="宋体" w:hAnsi="宋体" w:cs="宋体"/>
          <w:bCs/>
          <w:color w:val="0000FF"/>
          <w:spacing w:val="4"/>
          <w:sz w:val="24"/>
        </w:rPr>
        <w:t>，修建</w:t>
      </w:r>
      <w:r>
        <w:rPr>
          <w:rFonts w:hint="eastAsia" w:ascii="宋体" w:hAnsi="宋体" w:cs="宋体"/>
          <w:bCs/>
          <w:color w:val="0000FF"/>
          <w:spacing w:val="4"/>
          <w:sz w:val="24"/>
          <w:lang w:val="en-US" w:eastAsia="zh-CN"/>
        </w:rPr>
        <w:t>总</w:t>
      </w:r>
      <w:r>
        <w:rPr>
          <w:rFonts w:hint="eastAsia" w:ascii="宋体" w:hAnsi="宋体" w:cs="宋体"/>
          <w:bCs/>
          <w:color w:val="0000FF"/>
          <w:spacing w:val="4"/>
          <w:sz w:val="24"/>
        </w:rPr>
        <w:t>长度为</w:t>
      </w:r>
      <w:r>
        <w:rPr>
          <w:rFonts w:hint="eastAsia" w:ascii="宋体" w:hAnsi="宋体" w:cs="宋体"/>
          <w:bCs/>
          <w:color w:val="0000FF"/>
          <w:spacing w:val="4"/>
          <w:sz w:val="24"/>
          <w:lang w:val="en-US" w:eastAsia="zh-CN"/>
        </w:rPr>
        <w:t>224</w:t>
      </w:r>
      <w:r>
        <w:rPr>
          <w:rFonts w:hint="eastAsia" w:ascii="宋体" w:hAnsi="宋体" w:cs="宋体"/>
          <w:bCs/>
          <w:color w:val="0000FF"/>
          <w:spacing w:val="4"/>
          <w:sz w:val="24"/>
        </w:rPr>
        <w:t>米，正面坡为1：0.</w:t>
      </w:r>
      <w:r>
        <w:rPr>
          <w:rFonts w:hint="eastAsia" w:ascii="宋体" w:hAnsi="宋体" w:cs="宋体"/>
          <w:bCs/>
          <w:color w:val="0000FF"/>
          <w:spacing w:val="4"/>
          <w:sz w:val="24"/>
          <w:lang w:val="en-US" w:eastAsia="zh-CN"/>
        </w:rPr>
        <w:t>05</w:t>
      </w:r>
      <w:r>
        <w:rPr>
          <w:rFonts w:hint="eastAsia" w:ascii="宋体" w:hAnsi="宋体" w:cs="宋体"/>
          <w:bCs/>
          <w:color w:val="0000FF"/>
          <w:spacing w:val="4"/>
          <w:sz w:val="24"/>
        </w:rPr>
        <w:t>，背坡为1：0</w:t>
      </w:r>
      <w:r>
        <w:rPr>
          <w:rFonts w:hint="eastAsia" w:ascii="宋体" w:hAnsi="宋体" w:cs="宋体"/>
          <w:bCs/>
          <w:color w:val="0000FF"/>
          <w:spacing w:val="4"/>
          <w:sz w:val="24"/>
          <w:lang w:val="en-US" w:eastAsia="zh-CN"/>
        </w:rPr>
        <w:t>.3</w:t>
      </w:r>
      <w:r>
        <w:rPr>
          <w:rFonts w:hint="eastAsia" w:ascii="宋体" w:hAnsi="宋体" w:cs="宋体"/>
          <w:bCs/>
          <w:color w:val="0000FF"/>
          <w:spacing w:val="4"/>
          <w:sz w:val="24"/>
        </w:rPr>
        <w:t>，前趾高0.</w:t>
      </w:r>
      <w:r>
        <w:rPr>
          <w:rFonts w:hint="eastAsia" w:ascii="宋体" w:hAnsi="宋体" w:cs="宋体"/>
          <w:bCs/>
          <w:color w:val="0000FF"/>
          <w:spacing w:val="4"/>
          <w:sz w:val="24"/>
          <w:lang w:val="en-US" w:eastAsia="zh-CN"/>
        </w:rPr>
        <w:t>5</w:t>
      </w:r>
      <w:r>
        <w:rPr>
          <w:rFonts w:hint="eastAsia" w:ascii="宋体" w:hAnsi="宋体" w:cs="宋体"/>
          <w:bCs/>
          <w:color w:val="0000FF"/>
          <w:spacing w:val="4"/>
          <w:sz w:val="24"/>
        </w:rPr>
        <w:t>m、宽0.</w:t>
      </w:r>
      <w:r>
        <w:rPr>
          <w:rFonts w:hint="eastAsia" w:ascii="宋体" w:hAnsi="宋体" w:cs="宋体"/>
          <w:bCs/>
          <w:color w:val="0000FF"/>
          <w:spacing w:val="4"/>
          <w:sz w:val="24"/>
          <w:lang w:val="en-US" w:eastAsia="zh-CN"/>
        </w:rPr>
        <w:t>25</w:t>
      </w:r>
      <w:r>
        <w:rPr>
          <w:rFonts w:hint="eastAsia" w:ascii="宋体" w:hAnsi="宋体" w:cs="宋体"/>
          <w:bCs/>
          <w:color w:val="0000FF"/>
          <w:spacing w:val="4"/>
          <w:sz w:val="24"/>
        </w:rPr>
        <w:t>m。</w:t>
      </w:r>
    </w:p>
    <w:p>
      <w:pPr>
        <w:adjustRightInd w:val="0"/>
        <w:spacing w:line="360" w:lineRule="auto"/>
        <w:ind w:right="53" w:rightChars="25" w:firstLine="578" w:firstLineChars="200"/>
        <w:outlineLvl w:val="0"/>
        <w:rPr>
          <w:rFonts w:ascii="宋体" w:hAnsi="宋体" w:cs="宋体"/>
          <w:bCs/>
          <w:color w:val="0000FF"/>
          <w:spacing w:val="4"/>
          <w:sz w:val="28"/>
          <w:szCs w:val="28"/>
        </w:rPr>
      </w:pPr>
      <w:r>
        <w:rPr>
          <w:rFonts w:hint="eastAsia" w:ascii="宋体" w:hAnsi="宋体" w:cs="宋体"/>
          <w:b/>
          <w:color w:val="0000FF"/>
          <w:spacing w:val="4"/>
          <w:sz w:val="28"/>
          <w:szCs w:val="28"/>
        </w:rPr>
        <w:t>4.</w:t>
      </w:r>
      <w:r>
        <w:rPr>
          <w:rFonts w:hint="eastAsia" w:ascii="宋体" w:hAnsi="宋体" w:cs="宋体"/>
          <w:b/>
          <w:color w:val="0000FF"/>
          <w:spacing w:val="4"/>
          <w:sz w:val="28"/>
          <w:szCs w:val="28"/>
          <w:lang w:val="en-US" w:eastAsia="zh-CN"/>
        </w:rPr>
        <w:t>7</w:t>
      </w:r>
      <w:r>
        <w:rPr>
          <w:rFonts w:hint="eastAsia" w:ascii="宋体" w:hAnsi="宋体" w:cs="宋体"/>
          <w:b/>
          <w:color w:val="0000FF"/>
          <w:spacing w:val="4"/>
          <w:sz w:val="28"/>
          <w:szCs w:val="28"/>
        </w:rPr>
        <w:t>.1设计参数</w:t>
      </w:r>
    </w:p>
    <w:p>
      <w:pPr>
        <w:adjustRightInd w:val="0"/>
        <w:spacing w:line="360" w:lineRule="auto"/>
        <w:ind w:right="53" w:rightChars="25" w:firstLine="480" w:firstLineChars="200"/>
        <w:outlineLvl w:val="0"/>
        <w:rPr>
          <w:rFonts w:ascii="宋体" w:hAnsi="宋体" w:cs="宋体"/>
          <w:bCs/>
          <w:color w:val="0000FF"/>
          <w:spacing w:val="4"/>
          <w:sz w:val="24"/>
        </w:rPr>
      </w:pPr>
      <w:r>
        <w:rPr>
          <w:rFonts w:ascii="宋体" w:hAnsi="宋体" w:cs="宋体"/>
          <w:sz w:val="24"/>
        </w:rPr>
        <w:pict>
          <v:shape id="_x0000_s1028" o:spid="_x0000_s1028" o:spt="202" type="#_x0000_t202" style="position:absolute;left:0pt;margin-left:986.4pt;margin-top:-700.75pt;height:54.85pt;width:81pt;z-index:25166745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pPr>
                    <w:rPr>
                      <w:rFonts w:ascii="宋体" w:hAnsi="宋体"/>
                      <w:b/>
                      <w:sz w:val="32"/>
                      <w:szCs w:val="32"/>
                    </w:rPr>
                  </w:pPr>
                  <w:r>
                    <w:rPr>
                      <w:rFonts w:hint="eastAsia" w:ascii="宋体" w:hAnsi="宋体"/>
                      <w:b/>
                      <w:sz w:val="32"/>
                      <w:szCs w:val="32"/>
                    </w:rPr>
                    <w:t>003</w:t>
                  </w:r>
                </w:p>
                <w:p>
                  <w:pPr>
                    <w:rPr>
                      <w:rFonts w:ascii="宋体" w:hAnsi="宋体"/>
                      <w:b/>
                      <w:sz w:val="24"/>
                    </w:rPr>
                  </w:pPr>
                  <w:r>
                    <w:rPr>
                      <w:rFonts w:hint="eastAsia" w:ascii="宋体" w:hAnsi="宋体"/>
                      <w:b/>
                      <w:sz w:val="24"/>
                    </w:rPr>
                    <w:t>S1-2</w:t>
                  </w:r>
                </w:p>
                <w:p>
                  <w:pPr>
                    <w:rPr>
                      <w:rFonts w:ascii="宋体" w:hAnsi="宋体"/>
                      <w:b/>
                      <w:sz w:val="32"/>
                      <w:szCs w:val="32"/>
                    </w:rPr>
                  </w:pPr>
                </w:p>
              </w:txbxContent>
            </v:textbox>
          </v:shape>
        </w:pict>
      </w:r>
      <w:r>
        <w:rPr>
          <w:rFonts w:hint="eastAsia" w:ascii="宋体" w:hAnsi="宋体" w:cs="宋体"/>
          <w:bCs/>
          <w:color w:val="0000FF"/>
          <w:spacing w:val="4"/>
          <w:sz w:val="24"/>
        </w:rPr>
        <w:fldChar w:fldCharType="begin"/>
      </w:r>
      <w:r>
        <w:rPr>
          <w:rFonts w:hint="eastAsia" w:ascii="宋体" w:hAnsi="宋体" w:cs="宋体"/>
          <w:bCs/>
          <w:color w:val="0000FF"/>
          <w:spacing w:val="4"/>
          <w:sz w:val="24"/>
        </w:rPr>
        <w:instrText xml:space="preserve"> = 1 \* GB3 </w:instrText>
      </w:r>
      <w:r>
        <w:rPr>
          <w:rFonts w:hint="eastAsia" w:ascii="宋体" w:hAnsi="宋体" w:cs="宋体"/>
          <w:bCs/>
          <w:color w:val="0000FF"/>
          <w:spacing w:val="4"/>
          <w:sz w:val="24"/>
        </w:rPr>
        <w:fldChar w:fldCharType="separate"/>
      </w:r>
      <w:r>
        <w:rPr>
          <w:rFonts w:hint="eastAsia" w:ascii="宋体" w:hAnsi="宋体" w:cs="宋体"/>
          <w:bCs/>
          <w:color w:val="0000FF"/>
          <w:spacing w:val="4"/>
          <w:sz w:val="24"/>
        </w:rPr>
        <w:t>①</w:t>
      </w:r>
      <w:r>
        <w:rPr>
          <w:rFonts w:hint="eastAsia" w:ascii="宋体" w:hAnsi="宋体" w:cs="宋体"/>
          <w:bCs/>
          <w:color w:val="0000FF"/>
          <w:spacing w:val="4"/>
          <w:sz w:val="24"/>
        </w:rPr>
        <w:fldChar w:fldCharType="end"/>
      </w:r>
      <w:r>
        <w:rPr>
          <w:rFonts w:hint="eastAsia" w:ascii="宋体" w:hAnsi="宋体" w:cs="宋体"/>
          <w:bCs/>
          <w:color w:val="0000FF"/>
          <w:spacing w:val="4"/>
          <w:sz w:val="24"/>
        </w:rPr>
        <w:t xml:space="preserve"> 设计荷载：车辆荷载采用《公路路基设计规范》（JTG D30－2015）中5.4.2条规定的荷载。</w:t>
      </w:r>
    </w:p>
    <w:p>
      <w:pPr>
        <w:adjustRightInd w:val="0"/>
        <w:spacing w:line="360" w:lineRule="auto"/>
        <w:ind w:right="53" w:rightChars="25" w:firstLine="496" w:firstLineChars="200"/>
        <w:outlineLvl w:val="0"/>
        <w:rPr>
          <w:rFonts w:ascii="宋体" w:hAnsi="宋体" w:cs="宋体"/>
          <w:bCs/>
          <w:color w:val="0000FF"/>
          <w:spacing w:val="4"/>
          <w:sz w:val="24"/>
        </w:rPr>
      </w:pPr>
      <w:r>
        <w:rPr>
          <w:rFonts w:hint="eastAsia" w:ascii="宋体" w:hAnsi="宋体" w:cs="宋体"/>
          <w:bCs/>
          <w:color w:val="0000FF"/>
          <w:spacing w:val="4"/>
          <w:sz w:val="24"/>
        </w:rPr>
        <w:fldChar w:fldCharType="begin"/>
      </w:r>
      <w:r>
        <w:rPr>
          <w:rFonts w:hint="eastAsia" w:ascii="宋体" w:hAnsi="宋体" w:cs="宋体"/>
          <w:bCs/>
          <w:color w:val="0000FF"/>
          <w:spacing w:val="4"/>
          <w:sz w:val="24"/>
        </w:rPr>
        <w:instrText xml:space="preserve"> = 2 \* GB3 </w:instrText>
      </w:r>
      <w:r>
        <w:rPr>
          <w:rFonts w:hint="eastAsia" w:ascii="宋体" w:hAnsi="宋体" w:cs="宋体"/>
          <w:bCs/>
          <w:color w:val="0000FF"/>
          <w:spacing w:val="4"/>
          <w:sz w:val="24"/>
        </w:rPr>
        <w:fldChar w:fldCharType="separate"/>
      </w:r>
      <w:r>
        <w:rPr>
          <w:rFonts w:hint="eastAsia" w:ascii="宋体" w:hAnsi="宋体" w:cs="宋体"/>
          <w:bCs/>
          <w:color w:val="0000FF"/>
          <w:spacing w:val="4"/>
          <w:sz w:val="24"/>
        </w:rPr>
        <w:t>②</w:t>
      </w:r>
      <w:r>
        <w:rPr>
          <w:rFonts w:hint="eastAsia" w:ascii="宋体" w:hAnsi="宋体" w:cs="宋体"/>
          <w:bCs/>
          <w:color w:val="0000FF"/>
          <w:spacing w:val="4"/>
          <w:sz w:val="24"/>
        </w:rPr>
        <w:fldChar w:fldCharType="end"/>
      </w:r>
      <w:r>
        <w:rPr>
          <w:rFonts w:hint="eastAsia" w:ascii="宋体" w:hAnsi="宋体" w:cs="宋体"/>
          <w:bCs/>
          <w:color w:val="0000FF"/>
          <w:spacing w:val="4"/>
          <w:sz w:val="24"/>
        </w:rPr>
        <w:t>墙背填土计算内摩擦角φ=35°，填土容重γ=19KN/m</w:t>
      </w:r>
      <w:r>
        <w:rPr>
          <w:rFonts w:hint="eastAsia" w:ascii="宋体" w:hAnsi="宋体" w:cs="宋体"/>
          <w:bCs/>
          <w:color w:val="0000FF"/>
          <w:spacing w:val="4"/>
          <w:sz w:val="24"/>
          <w:vertAlign w:val="superscript"/>
        </w:rPr>
        <w:t>3</w:t>
      </w:r>
      <w:r>
        <w:rPr>
          <w:rFonts w:hint="eastAsia" w:ascii="宋体" w:hAnsi="宋体" w:cs="宋体"/>
          <w:bCs/>
          <w:color w:val="0000FF"/>
          <w:spacing w:val="4"/>
          <w:sz w:val="24"/>
        </w:rPr>
        <w:t>。</w:t>
      </w:r>
    </w:p>
    <w:p>
      <w:pPr>
        <w:adjustRightInd w:val="0"/>
        <w:spacing w:line="360" w:lineRule="auto"/>
        <w:ind w:right="53" w:rightChars="25" w:firstLine="496" w:firstLineChars="200"/>
        <w:outlineLvl w:val="0"/>
        <w:rPr>
          <w:rFonts w:ascii="宋体" w:hAnsi="宋体" w:cs="宋体"/>
          <w:bCs/>
          <w:color w:val="0000FF"/>
          <w:spacing w:val="4"/>
          <w:sz w:val="24"/>
        </w:rPr>
      </w:pPr>
      <w:r>
        <w:rPr>
          <w:rFonts w:hint="eastAsia" w:ascii="宋体" w:hAnsi="宋体" w:cs="宋体"/>
          <w:bCs/>
          <w:color w:val="0000FF"/>
          <w:spacing w:val="4"/>
          <w:sz w:val="24"/>
        </w:rPr>
        <w:fldChar w:fldCharType="begin"/>
      </w:r>
      <w:r>
        <w:rPr>
          <w:rFonts w:hint="eastAsia" w:ascii="宋体" w:hAnsi="宋体" w:cs="宋体"/>
          <w:bCs/>
          <w:color w:val="0000FF"/>
          <w:spacing w:val="4"/>
          <w:sz w:val="24"/>
        </w:rPr>
        <w:instrText xml:space="preserve"> = 3 \* GB3 </w:instrText>
      </w:r>
      <w:r>
        <w:rPr>
          <w:rFonts w:hint="eastAsia" w:ascii="宋体" w:hAnsi="宋体" w:cs="宋体"/>
          <w:bCs/>
          <w:color w:val="0000FF"/>
          <w:spacing w:val="4"/>
          <w:sz w:val="24"/>
        </w:rPr>
        <w:fldChar w:fldCharType="separate"/>
      </w:r>
      <w:r>
        <w:rPr>
          <w:rFonts w:hint="eastAsia" w:ascii="宋体" w:hAnsi="宋体" w:cs="宋体"/>
          <w:bCs/>
          <w:color w:val="0000FF"/>
          <w:spacing w:val="4"/>
          <w:sz w:val="24"/>
        </w:rPr>
        <w:t>③</w:t>
      </w:r>
      <w:r>
        <w:rPr>
          <w:rFonts w:hint="eastAsia" w:ascii="宋体" w:hAnsi="宋体" w:cs="宋体"/>
          <w:bCs/>
          <w:color w:val="0000FF"/>
          <w:spacing w:val="4"/>
          <w:sz w:val="24"/>
        </w:rPr>
        <w:fldChar w:fldCharType="end"/>
      </w:r>
      <w:r>
        <w:rPr>
          <w:rFonts w:hint="eastAsia" w:ascii="宋体" w:hAnsi="宋体" w:cs="宋体"/>
          <w:bCs/>
          <w:color w:val="0000FF"/>
          <w:spacing w:val="4"/>
          <w:sz w:val="24"/>
        </w:rPr>
        <w:t>墙身片石混凝土容重γ=23KN/m</w:t>
      </w:r>
      <w:r>
        <w:rPr>
          <w:rFonts w:hint="eastAsia" w:ascii="宋体" w:hAnsi="宋体" w:cs="宋体"/>
          <w:bCs/>
          <w:color w:val="0000FF"/>
          <w:spacing w:val="4"/>
          <w:sz w:val="24"/>
          <w:vertAlign w:val="superscript"/>
        </w:rPr>
        <w:t>3</w:t>
      </w:r>
      <w:r>
        <w:rPr>
          <w:rFonts w:hint="eastAsia" w:ascii="宋体" w:hAnsi="宋体" w:cs="宋体"/>
          <w:bCs/>
          <w:color w:val="0000FF"/>
          <w:spacing w:val="4"/>
          <w:sz w:val="24"/>
        </w:rPr>
        <w:t>。</w:t>
      </w:r>
    </w:p>
    <w:p>
      <w:pPr>
        <w:adjustRightInd w:val="0"/>
        <w:spacing w:line="360" w:lineRule="auto"/>
        <w:ind w:right="53" w:rightChars="25" w:firstLine="496" w:firstLineChars="200"/>
        <w:outlineLvl w:val="0"/>
        <w:rPr>
          <w:rFonts w:ascii="宋体" w:hAnsi="宋体" w:cs="宋体"/>
          <w:bCs/>
          <w:color w:val="0000FF"/>
          <w:spacing w:val="4"/>
          <w:sz w:val="24"/>
        </w:rPr>
      </w:pPr>
      <w:r>
        <w:rPr>
          <w:rFonts w:hint="eastAsia" w:ascii="宋体" w:hAnsi="宋体" w:cs="宋体"/>
          <w:bCs/>
          <w:color w:val="0000FF"/>
          <w:spacing w:val="4"/>
          <w:sz w:val="24"/>
        </w:rPr>
        <w:fldChar w:fldCharType="begin"/>
      </w:r>
      <w:r>
        <w:rPr>
          <w:rFonts w:hint="eastAsia" w:ascii="宋体" w:hAnsi="宋体" w:cs="宋体"/>
          <w:bCs/>
          <w:color w:val="0000FF"/>
          <w:spacing w:val="4"/>
          <w:sz w:val="24"/>
        </w:rPr>
        <w:instrText xml:space="preserve"> = 4 \* GB3 </w:instrText>
      </w:r>
      <w:r>
        <w:rPr>
          <w:rFonts w:hint="eastAsia" w:ascii="宋体" w:hAnsi="宋体" w:cs="宋体"/>
          <w:bCs/>
          <w:color w:val="0000FF"/>
          <w:spacing w:val="4"/>
          <w:sz w:val="24"/>
        </w:rPr>
        <w:fldChar w:fldCharType="separate"/>
      </w:r>
      <w:r>
        <w:rPr>
          <w:rFonts w:hint="eastAsia" w:ascii="宋体" w:hAnsi="宋体" w:cs="宋体"/>
          <w:bCs/>
          <w:color w:val="0000FF"/>
          <w:spacing w:val="4"/>
          <w:sz w:val="24"/>
        </w:rPr>
        <w:t>④</w:t>
      </w:r>
      <w:r>
        <w:rPr>
          <w:rFonts w:hint="eastAsia" w:ascii="宋体" w:hAnsi="宋体" w:cs="宋体"/>
          <w:bCs/>
          <w:color w:val="0000FF"/>
          <w:spacing w:val="4"/>
          <w:sz w:val="24"/>
        </w:rPr>
        <w:fldChar w:fldCharType="end"/>
      </w:r>
      <w:r>
        <w:rPr>
          <w:rFonts w:hint="eastAsia" w:ascii="宋体" w:hAnsi="宋体" w:cs="宋体"/>
          <w:bCs/>
          <w:color w:val="0000FF"/>
          <w:spacing w:val="4"/>
          <w:sz w:val="24"/>
        </w:rPr>
        <w:t>挡墙稳定系数：抗滑稳定系数Kc≥1.3；抗倾覆稳定系数Ko≥1.5。</w:t>
      </w:r>
    </w:p>
    <w:p>
      <w:pPr>
        <w:adjustRightInd w:val="0"/>
        <w:spacing w:line="360" w:lineRule="auto"/>
        <w:ind w:right="53" w:rightChars="25" w:firstLine="578" w:firstLineChars="200"/>
        <w:outlineLvl w:val="0"/>
        <w:rPr>
          <w:rFonts w:ascii="宋体" w:hAnsi="宋体" w:cs="宋体"/>
          <w:bCs/>
          <w:color w:val="0000FF"/>
          <w:spacing w:val="4"/>
          <w:sz w:val="28"/>
          <w:szCs w:val="28"/>
        </w:rPr>
      </w:pPr>
      <w:r>
        <w:rPr>
          <w:rFonts w:hint="eastAsia" w:ascii="宋体" w:hAnsi="宋体" w:cs="宋体"/>
          <w:b/>
          <w:color w:val="0000FF"/>
          <w:spacing w:val="4"/>
          <w:sz w:val="28"/>
          <w:szCs w:val="28"/>
        </w:rPr>
        <w:t>4.</w:t>
      </w:r>
      <w:r>
        <w:rPr>
          <w:rFonts w:hint="eastAsia" w:ascii="宋体" w:hAnsi="宋体" w:cs="宋体"/>
          <w:b/>
          <w:color w:val="0000FF"/>
          <w:spacing w:val="4"/>
          <w:sz w:val="28"/>
          <w:szCs w:val="28"/>
          <w:lang w:val="en-US" w:eastAsia="zh-CN"/>
        </w:rPr>
        <w:t>7</w:t>
      </w:r>
      <w:r>
        <w:rPr>
          <w:rFonts w:hint="eastAsia" w:ascii="宋体" w:hAnsi="宋体" w:cs="宋体"/>
          <w:b/>
          <w:color w:val="0000FF"/>
          <w:spacing w:val="4"/>
          <w:sz w:val="28"/>
          <w:szCs w:val="28"/>
        </w:rPr>
        <w:t>.2挡墙构造和材料要求</w:t>
      </w:r>
    </w:p>
    <w:p>
      <w:pPr>
        <w:adjustRightInd w:val="0"/>
        <w:spacing w:line="360" w:lineRule="auto"/>
        <w:ind w:right="53" w:rightChars="25" w:firstLine="496" w:firstLineChars="200"/>
        <w:outlineLvl w:val="0"/>
        <w:rPr>
          <w:rFonts w:ascii="宋体" w:hAnsi="宋体" w:cs="宋体"/>
          <w:bCs/>
          <w:color w:val="0000FF"/>
          <w:spacing w:val="4"/>
          <w:sz w:val="24"/>
        </w:rPr>
      </w:pPr>
      <w:r>
        <w:rPr>
          <w:rFonts w:hint="eastAsia" w:ascii="宋体" w:hAnsi="宋体" w:cs="宋体"/>
          <w:bCs/>
          <w:color w:val="0000FF"/>
          <w:spacing w:val="4"/>
          <w:sz w:val="24"/>
        </w:rPr>
        <w:fldChar w:fldCharType="begin"/>
      </w:r>
      <w:r>
        <w:rPr>
          <w:rFonts w:hint="eastAsia" w:ascii="宋体" w:hAnsi="宋体" w:cs="宋体"/>
          <w:bCs/>
          <w:color w:val="0000FF"/>
          <w:spacing w:val="4"/>
          <w:sz w:val="24"/>
        </w:rPr>
        <w:instrText xml:space="preserve"> = 1 \* GB3 </w:instrText>
      </w:r>
      <w:r>
        <w:rPr>
          <w:rFonts w:hint="eastAsia" w:ascii="宋体" w:hAnsi="宋体" w:cs="宋体"/>
          <w:bCs/>
          <w:color w:val="0000FF"/>
          <w:spacing w:val="4"/>
          <w:sz w:val="24"/>
        </w:rPr>
        <w:fldChar w:fldCharType="separate"/>
      </w:r>
      <w:r>
        <w:rPr>
          <w:rFonts w:hint="eastAsia" w:ascii="宋体" w:hAnsi="宋体" w:cs="宋体"/>
          <w:bCs/>
          <w:color w:val="0000FF"/>
          <w:spacing w:val="4"/>
          <w:sz w:val="24"/>
        </w:rPr>
        <w:t>①</w:t>
      </w:r>
      <w:r>
        <w:rPr>
          <w:rFonts w:hint="eastAsia" w:ascii="宋体" w:hAnsi="宋体" w:cs="宋体"/>
          <w:bCs/>
          <w:color w:val="0000FF"/>
          <w:spacing w:val="4"/>
          <w:sz w:val="24"/>
        </w:rPr>
        <w:fldChar w:fldCharType="end"/>
      </w:r>
      <w:r>
        <w:rPr>
          <w:rFonts w:hint="eastAsia" w:ascii="宋体" w:hAnsi="宋体" w:cs="宋体"/>
          <w:bCs/>
          <w:color w:val="0000FF"/>
          <w:spacing w:val="4"/>
          <w:sz w:val="24"/>
        </w:rPr>
        <w:t xml:space="preserve"> 采用浆砌片石，所用片石应匀质、不易风化、无裂隙且标号不低于M30, 石料规格应符合相关技术要求。</w:t>
      </w:r>
    </w:p>
    <w:p>
      <w:pPr>
        <w:adjustRightInd w:val="0"/>
        <w:spacing w:line="360" w:lineRule="auto"/>
        <w:ind w:right="53" w:rightChars="25" w:firstLine="496" w:firstLineChars="200"/>
        <w:outlineLvl w:val="0"/>
        <w:rPr>
          <w:rFonts w:ascii="宋体" w:hAnsi="宋体" w:cs="宋体"/>
          <w:bCs/>
          <w:color w:val="0000FF"/>
          <w:spacing w:val="4"/>
          <w:sz w:val="24"/>
        </w:rPr>
      </w:pPr>
      <w:r>
        <w:rPr>
          <w:rFonts w:hint="eastAsia" w:ascii="宋体" w:hAnsi="宋体" w:cs="宋体"/>
          <w:bCs/>
          <w:color w:val="0000FF"/>
          <w:spacing w:val="4"/>
          <w:sz w:val="24"/>
        </w:rPr>
        <w:t>② 沿墙长每隔10m和与其它建筑物连接处应设置（沥青麻絮）伸缩缝。伸缩缝和沉降缝可合并设置，缝宽2cm。（缝内沿墙的内、外、顶三边填塞沥青麻絮，塞入深度不小于15cm。）</w:t>
      </w:r>
    </w:p>
    <w:p>
      <w:pPr>
        <w:adjustRightInd w:val="0"/>
        <w:spacing w:line="360" w:lineRule="auto"/>
        <w:ind w:right="53" w:rightChars="25" w:firstLine="496" w:firstLineChars="200"/>
        <w:outlineLvl w:val="0"/>
        <w:rPr>
          <w:rFonts w:ascii="宋体" w:hAnsi="宋体" w:cs="宋体"/>
          <w:bCs/>
          <w:color w:val="0000FF"/>
          <w:spacing w:val="4"/>
          <w:sz w:val="24"/>
        </w:rPr>
      </w:pPr>
      <w:r>
        <w:rPr>
          <w:rFonts w:hint="eastAsia" w:ascii="宋体" w:hAnsi="宋体" w:cs="宋体"/>
          <w:bCs/>
          <w:color w:val="0000FF"/>
          <w:spacing w:val="4"/>
          <w:sz w:val="24"/>
        </w:rPr>
        <w:t>③ 泄水孔每隔2m设一个,上下错列设置。泄水孔采用φ10cm的PVC管。最下一排泄水孔应高出常水位或地面0.3m。</w:t>
      </w:r>
    </w:p>
    <w:p>
      <w:pPr>
        <w:adjustRightInd w:val="0"/>
        <w:spacing w:line="360" w:lineRule="auto"/>
        <w:ind w:right="53" w:rightChars="25" w:firstLine="496" w:firstLineChars="200"/>
        <w:rPr>
          <w:rFonts w:ascii="宋体" w:hAnsi="宋体" w:cs="宋体"/>
          <w:bCs/>
          <w:color w:val="0000FF"/>
          <w:spacing w:val="4"/>
          <w:sz w:val="24"/>
        </w:rPr>
      </w:pPr>
      <w:r>
        <w:rPr>
          <w:rFonts w:hint="eastAsia" w:ascii="宋体" w:hAnsi="宋体" w:cs="宋体"/>
          <w:bCs/>
          <w:color w:val="0000FF"/>
          <w:spacing w:val="4"/>
          <w:sz w:val="24"/>
        </w:rPr>
        <w:t>④ 挡土墙基础应置于坚实的土基中或岩石上，土基的基础的埋深不小于1.5m。</w:t>
      </w:r>
    </w:p>
    <w:p>
      <w:pPr>
        <w:adjustRightInd w:val="0"/>
        <w:spacing w:line="360" w:lineRule="auto"/>
        <w:ind w:right="53" w:rightChars="25"/>
        <w:rPr>
          <w:rFonts w:ascii="宋体" w:hAnsi="宋体"/>
          <w:b/>
          <w:spacing w:val="4"/>
          <w:sz w:val="28"/>
          <w:szCs w:val="28"/>
        </w:rPr>
      </w:pPr>
      <w:r>
        <w:rPr>
          <w:rFonts w:hint="eastAsia" w:ascii="宋体" w:hAnsi="宋体"/>
          <w:b/>
          <w:spacing w:val="4"/>
          <w:sz w:val="28"/>
          <w:szCs w:val="28"/>
        </w:rPr>
        <w:t>五.筑路材料要求</w:t>
      </w:r>
    </w:p>
    <w:p>
      <w:pPr>
        <w:adjustRightInd w:val="0"/>
        <w:spacing w:line="360" w:lineRule="auto"/>
        <w:ind w:right="53" w:rightChars="25" w:firstLine="578" w:firstLineChars="200"/>
        <w:rPr>
          <w:rFonts w:ascii="宋体" w:hAnsi="宋体"/>
          <w:b/>
          <w:spacing w:val="4"/>
          <w:sz w:val="28"/>
          <w:szCs w:val="28"/>
        </w:rPr>
      </w:pPr>
      <w:r>
        <w:rPr>
          <w:rFonts w:hint="eastAsia" w:ascii="宋体" w:hAnsi="宋体"/>
          <w:b/>
          <w:spacing w:val="4"/>
          <w:sz w:val="28"/>
          <w:szCs w:val="28"/>
        </w:rPr>
        <w:t>5.1路面水泥混凝土材料要求</w:t>
      </w:r>
    </w:p>
    <w:p>
      <w:pPr>
        <w:adjustRightInd w:val="0"/>
        <w:spacing w:line="360" w:lineRule="auto"/>
        <w:ind w:right="53" w:rightChars="25" w:firstLine="578" w:firstLineChars="200"/>
        <w:rPr>
          <w:rFonts w:ascii="宋体" w:hAnsi="宋体"/>
          <w:b/>
          <w:spacing w:val="4"/>
          <w:sz w:val="28"/>
          <w:szCs w:val="28"/>
        </w:rPr>
      </w:pPr>
      <w:bookmarkStart w:id="3" w:name="_Hlk48115109"/>
      <w:r>
        <w:rPr>
          <w:rFonts w:hint="eastAsia" w:ascii="宋体" w:hAnsi="宋体"/>
          <w:b/>
          <w:spacing w:val="4"/>
          <w:sz w:val="28"/>
          <w:szCs w:val="28"/>
        </w:rPr>
        <w:t>5.1.</w:t>
      </w:r>
      <w:r>
        <w:rPr>
          <w:rFonts w:ascii="宋体" w:hAnsi="宋体"/>
          <w:b/>
          <w:spacing w:val="4"/>
          <w:sz w:val="28"/>
          <w:szCs w:val="28"/>
        </w:rPr>
        <w:t>1</w:t>
      </w:r>
      <w:r>
        <w:rPr>
          <w:rFonts w:hint="eastAsia" w:ascii="宋体" w:hAnsi="宋体"/>
          <w:b/>
          <w:spacing w:val="4"/>
          <w:sz w:val="28"/>
          <w:szCs w:val="28"/>
        </w:rPr>
        <w:t>水泥</w:t>
      </w:r>
    </w:p>
    <w:bookmarkEnd w:id="3"/>
    <w:p>
      <w:pPr>
        <w:adjustRightInd w:val="0"/>
        <w:spacing w:line="360" w:lineRule="auto"/>
        <w:ind w:left="315" w:leftChars="150" w:firstLine="489" w:firstLineChars="204"/>
        <w:rPr>
          <w:rFonts w:ascii="宋体"/>
          <w:sz w:val="24"/>
        </w:rPr>
      </w:pPr>
      <w:r>
        <w:rPr>
          <w:rFonts w:hint="eastAsia" w:ascii="宋体"/>
          <w:sz w:val="24"/>
        </w:rPr>
        <w:t>面层水泥混凝土所用水泥的技术要求除应满足现行《道路硅酸盐水泥》(GB 13693-2005)或《通用硅酸盐水泥》(GB 175-200的规定外，各龄期的实测抗折强度、抗压强度尚应符合下表。</w:t>
      </w:r>
    </w:p>
    <w:tbl>
      <w:tblPr>
        <w:tblStyle w:val="6"/>
        <w:tblW w:w="10042" w:type="dxa"/>
        <w:jc w:val="center"/>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3311"/>
        <w:gridCol w:w="683"/>
        <w:gridCol w:w="684"/>
        <w:gridCol w:w="683"/>
        <w:gridCol w:w="686"/>
        <w:gridCol w:w="683"/>
        <w:gridCol w:w="684"/>
        <w:gridCol w:w="683"/>
        <w:gridCol w:w="685"/>
        <w:gridCol w:w="1260"/>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Ex>
        <w:trPr>
          <w:trHeight w:val="510" w:hRule="exact"/>
          <w:jc w:val="center"/>
        </w:trPr>
        <w:tc>
          <w:tcPr>
            <w:tcW w:w="10042" w:type="dxa"/>
            <w:gridSpan w:val="10"/>
            <w:tcBorders>
              <w:top w:val="nil"/>
              <w:left w:val="nil"/>
              <w:bottom w:val="single" w:color="auto" w:sz="12" w:space="0"/>
              <w:right w:val="nil"/>
            </w:tcBorders>
            <w:shd w:val="clear" w:color="000000" w:fill="FFFFFF"/>
            <w:noWrap/>
            <w:vAlign w:val="center"/>
          </w:tcPr>
          <w:p>
            <w:pPr>
              <w:widowControl/>
              <w:jc w:val="center"/>
              <w:rPr>
                <w:rFonts w:ascii="宋体"/>
                <w:sz w:val="24"/>
              </w:rPr>
            </w:pPr>
            <w:r>
              <w:rPr>
                <w:rFonts w:hint="eastAsia" w:ascii="宋体"/>
                <w:sz w:val="24"/>
              </w:rPr>
              <w:t>面层水泥混凝土用水泥各龄期的实测强度值</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Ex>
        <w:trPr>
          <w:trHeight w:val="397" w:hRule="atLeast"/>
          <w:jc w:val="center"/>
        </w:trPr>
        <w:tc>
          <w:tcPr>
            <w:tcW w:w="3311" w:type="dxa"/>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混凝土设计弯拉强度标准值(Mpa)</w:t>
            </w:r>
          </w:p>
        </w:tc>
        <w:tc>
          <w:tcPr>
            <w:tcW w:w="1367"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5.5</w:t>
            </w:r>
          </w:p>
        </w:tc>
        <w:tc>
          <w:tcPr>
            <w:tcW w:w="1369"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5</w:t>
            </w:r>
          </w:p>
        </w:tc>
        <w:tc>
          <w:tcPr>
            <w:tcW w:w="1367"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4.5</w:t>
            </w:r>
          </w:p>
        </w:tc>
        <w:tc>
          <w:tcPr>
            <w:tcW w:w="1368"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4</w:t>
            </w:r>
          </w:p>
        </w:tc>
        <w:tc>
          <w:tcPr>
            <w:tcW w:w="1260" w:type="dxa"/>
            <w:tcBorders>
              <w:top w:val="single" w:color="auto" w:sz="12" w:space="0"/>
              <w:left w:val="single" w:color="auto" w:sz="6" w:space="0"/>
              <w:bottom w:val="single" w:color="auto" w:sz="6" w:space="0"/>
              <w:right w:val="single" w:color="auto" w:sz="12" w:space="0"/>
            </w:tcBorders>
            <w:shd w:val="clear" w:color="auto" w:fill="auto"/>
            <w:noWrap/>
            <w:vAlign w:val="bottom"/>
          </w:tcPr>
          <w:p>
            <w:pPr>
              <w:widowControl/>
              <w:jc w:val="left"/>
              <w:rPr>
                <w:rFonts w:ascii="宋体"/>
                <w:szCs w:val="21"/>
              </w:rPr>
            </w:pPr>
            <w:r>
              <w:rPr>
                <w:rFonts w:hint="eastAsia" w:ascii="宋体"/>
                <w:szCs w:val="21"/>
              </w:rPr>
              <w:t>试验方法</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Ex>
        <w:trPr>
          <w:trHeight w:val="397" w:hRule="atLeast"/>
          <w:jc w:val="center"/>
        </w:trPr>
        <w:tc>
          <w:tcPr>
            <w:tcW w:w="3311"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龄期(d)</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3</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28</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3</w:t>
            </w:r>
          </w:p>
        </w:tc>
        <w:tc>
          <w:tcPr>
            <w:tcW w:w="68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28</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3</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28</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3</w:t>
            </w:r>
          </w:p>
        </w:tc>
        <w:tc>
          <w:tcPr>
            <w:tcW w:w="685"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28</w:t>
            </w:r>
          </w:p>
        </w:tc>
        <w:tc>
          <w:tcPr>
            <w:tcW w:w="12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szCs w:val="21"/>
              </w:rPr>
            </w:pPr>
            <w:r>
              <w:rPr>
                <w:rFonts w:hint="eastAsia" w:ascii="宋体"/>
                <w:szCs w:val="21"/>
              </w:rPr>
              <w:t>-</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Ex>
        <w:trPr>
          <w:trHeight w:val="397" w:hRule="atLeast"/>
          <w:jc w:val="center"/>
        </w:trPr>
        <w:tc>
          <w:tcPr>
            <w:tcW w:w="3311"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水泥实测抗折强度(Mpa),≥</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5.0 </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8.0 </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4.5 </w:t>
            </w:r>
          </w:p>
        </w:tc>
        <w:tc>
          <w:tcPr>
            <w:tcW w:w="68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7.5 </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4.0 </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7.0 </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3.0 </w:t>
            </w:r>
          </w:p>
        </w:tc>
        <w:tc>
          <w:tcPr>
            <w:tcW w:w="685"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6.5 </w:t>
            </w:r>
          </w:p>
        </w:tc>
        <w:tc>
          <w:tcPr>
            <w:tcW w:w="12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szCs w:val="21"/>
              </w:rPr>
            </w:pPr>
            <w:r>
              <w:rPr>
                <w:rFonts w:hint="eastAsia" w:ascii="宋体"/>
                <w:szCs w:val="21"/>
              </w:rPr>
              <w:t>GB/T 17671</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Ex>
        <w:trPr>
          <w:trHeight w:val="397" w:hRule="atLeast"/>
          <w:jc w:val="center"/>
        </w:trPr>
        <w:tc>
          <w:tcPr>
            <w:tcW w:w="3311" w:type="dxa"/>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水泥实测抗压强度(Mpa),≥</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23.0 </w:t>
            </w:r>
          </w:p>
        </w:tc>
        <w:tc>
          <w:tcPr>
            <w:tcW w:w="684"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52.5 </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17.0 </w:t>
            </w:r>
          </w:p>
        </w:tc>
        <w:tc>
          <w:tcPr>
            <w:tcW w:w="686"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42.5 </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17.0 </w:t>
            </w:r>
          </w:p>
        </w:tc>
        <w:tc>
          <w:tcPr>
            <w:tcW w:w="684"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42.5 </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10.0 </w:t>
            </w:r>
          </w:p>
        </w:tc>
        <w:tc>
          <w:tcPr>
            <w:tcW w:w="685"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szCs w:val="21"/>
              </w:rPr>
            </w:pPr>
            <w:r>
              <w:rPr>
                <w:rFonts w:hint="eastAsia" w:ascii="宋体"/>
                <w:szCs w:val="21"/>
              </w:rPr>
              <w:t xml:space="preserve">32.5 </w:t>
            </w:r>
          </w:p>
        </w:tc>
        <w:tc>
          <w:tcPr>
            <w:tcW w:w="1260" w:type="dxa"/>
            <w:tcBorders>
              <w:top w:val="single" w:color="auto" w:sz="6" w:space="0"/>
              <w:left w:val="single" w:color="auto" w:sz="6" w:space="0"/>
              <w:bottom w:val="single" w:color="auto" w:sz="12" w:space="0"/>
              <w:right w:val="single" w:color="auto" w:sz="12" w:space="0"/>
            </w:tcBorders>
            <w:shd w:val="clear" w:color="000000" w:fill="FFFFFF"/>
            <w:noWrap/>
            <w:vAlign w:val="center"/>
          </w:tcPr>
          <w:p>
            <w:pPr>
              <w:widowControl/>
              <w:jc w:val="center"/>
              <w:rPr>
                <w:rFonts w:ascii="宋体"/>
                <w:szCs w:val="21"/>
              </w:rPr>
            </w:pPr>
            <w:r>
              <w:rPr>
                <w:rFonts w:hint="eastAsia" w:ascii="宋体"/>
                <w:szCs w:val="21"/>
              </w:rPr>
              <w:t>GB/T 17671</w:t>
            </w:r>
          </w:p>
        </w:tc>
      </w:tr>
    </w:tbl>
    <w:p>
      <w:pPr>
        <w:adjustRightInd w:val="0"/>
        <w:spacing w:line="180" w:lineRule="exact"/>
        <w:ind w:firstLine="480" w:firstLineChars="200"/>
        <w:rPr>
          <w:sz w:val="24"/>
        </w:rPr>
      </w:pPr>
    </w:p>
    <w:p>
      <w:pPr>
        <w:adjustRightInd w:val="0"/>
        <w:spacing w:line="360" w:lineRule="auto"/>
        <w:ind w:firstLine="480" w:firstLineChars="200"/>
        <w:rPr>
          <w:sz w:val="24"/>
        </w:rPr>
      </w:pPr>
      <w:r>
        <w:rPr>
          <w:rFonts w:hint="eastAsia"/>
          <w:sz w:val="24"/>
        </w:rPr>
        <w:t>面层水泥混凝土所用水泥的成分应符合下表。</w:t>
      </w:r>
    </w:p>
    <w:tbl>
      <w:tblPr>
        <w:tblStyle w:val="6"/>
        <w:tblW w:w="10373" w:type="dxa"/>
        <w:jc w:val="center"/>
        <w:tblInd w:w="0" w:type="dxa"/>
        <w:tblLayout w:type="fixed"/>
        <w:tblCellMar>
          <w:top w:w="0" w:type="dxa"/>
          <w:left w:w="108" w:type="dxa"/>
          <w:bottom w:w="0" w:type="dxa"/>
          <w:right w:w="108" w:type="dxa"/>
        </w:tblCellMar>
      </w:tblPr>
      <w:tblGrid>
        <w:gridCol w:w="646"/>
        <w:gridCol w:w="2978"/>
        <w:gridCol w:w="2870"/>
        <w:gridCol w:w="2758"/>
        <w:gridCol w:w="1121"/>
      </w:tblGrid>
      <w:tr>
        <w:tblPrEx>
          <w:tblLayout w:type="fixed"/>
        </w:tblPrEx>
        <w:trPr>
          <w:trHeight w:val="510" w:hRule="exact"/>
          <w:jc w:val="center"/>
        </w:trPr>
        <w:tc>
          <w:tcPr>
            <w:tcW w:w="10373" w:type="dxa"/>
            <w:gridSpan w:val="5"/>
            <w:tcBorders>
              <w:top w:val="nil"/>
              <w:left w:val="nil"/>
              <w:bottom w:val="single" w:color="auto" w:sz="12" w:space="0"/>
              <w:right w:val="nil"/>
            </w:tcBorders>
            <w:shd w:val="clear" w:color="000000" w:fill="FFFFFF"/>
            <w:noWrap/>
            <w:vAlign w:val="center"/>
          </w:tcPr>
          <w:p>
            <w:pPr>
              <w:widowControl/>
              <w:jc w:val="center"/>
              <w:rPr>
                <w:sz w:val="24"/>
              </w:rPr>
            </w:pPr>
            <w:r>
              <w:rPr>
                <w:rFonts w:hint="eastAsia"/>
                <w:sz w:val="24"/>
              </w:rPr>
              <w:t>各交通荷载等级公路面层水泥混凝土用水泥的成分要求</w:t>
            </w: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项次</w:t>
            </w:r>
          </w:p>
        </w:tc>
        <w:tc>
          <w:tcPr>
            <w:tcW w:w="2978" w:type="dxa"/>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水泥成分</w:t>
            </w:r>
          </w:p>
        </w:tc>
        <w:tc>
          <w:tcPr>
            <w:tcW w:w="2870" w:type="dxa"/>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极重、特重、重交通荷载等级</w:t>
            </w:r>
          </w:p>
        </w:tc>
        <w:tc>
          <w:tcPr>
            <w:tcW w:w="2758" w:type="dxa"/>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中、轻交通荷载等级</w:t>
            </w:r>
          </w:p>
        </w:tc>
        <w:tc>
          <w:tcPr>
            <w:tcW w:w="1121" w:type="dxa"/>
            <w:tcBorders>
              <w:top w:val="single" w:color="auto" w:sz="12" w:space="0"/>
              <w:left w:val="single" w:color="auto" w:sz="6" w:space="0"/>
              <w:bottom w:val="single" w:color="auto" w:sz="6" w:space="0"/>
              <w:right w:val="single" w:color="auto" w:sz="12" w:space="0"/>
            </w:tcBorders>
            <w:shd w:val="clear" w:color="auto" w:fill="auto"/>
            <w:noWrap/>
            <w:vAlign w:val="center"/>
          </w:tcPr>
          <w:p>
            <w:pPr>
              <w:widowControl/>
              <w:jc w:val="center"/>
              <w:rPr>
                <w:szCs w:val="21"/>
              </w:rPr>
            </w:pPr>
            <w:r>
              <w:rPr>
                <w:rFonts w:hint="eastAsia"/>
                <w:szCs w:val="21"/>
              </w:rPr>
              <w:t>试验方法</w:t>
            </w: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1</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熟料游离氧化钙含量(%)≤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1.0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1.8</w:t>
            </w:r>
          </w:p>
        </w:tc>
        <w:tc>
          <w:tcPr>
            <w:tcW w:w="112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szCs w:val="21"/>
              </w:rPr>
            </w:pPr>
            <w:r>
              <w:rPr>
                <w:rFonts w:hint="eastAsia"/>
                <w:szCs w:val="21"/>
              </w:rPr>
              <w:t>GB/T 176</w:t>
            </w: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2</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氧化镁含量含量(%)≤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5.0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6.0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szCs w:val="21"/>
              </w:rPr>
            </w:pP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3</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铁铝酸四钙含量(%)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15.0～20.0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12.0～20.0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szCs w:val="21"/>
              </w:rPr>
            </w:pP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4</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铝酸三钙含量(%)≤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7.0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9.0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szCs w:val="21"/>
              </w:rPr>
            </w:pP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5</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三氧化硫含量(%)≤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3.5</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4.0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szCs w:val="21"/>
              </w:rPr>
            </w:pP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6</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碱含量Na</w:t>
            </w:r>
            <w:r>
              <w:rPr>
                <w:rFonts w:hint="eastAsia"/>
                <w:sz w:val="24"/>
                <w:vertAlign w:val="subscript"/>
                <w:lang w:val="en-US" w:eastAsia="zh-CN"/>
              </w:rPr>
              <w:t>2</w:t>
            </w:r>
            <w:r>
              <w:rPr>
                <w:rFonts w:hint="eastAsia"/>
                <w:szCs w:val="21"/>
              </w:rPr>
              <w:t>O+0.658K</w:t>
            </w:r>
            <w:r>
              <w:rPr>
                <w:rFonts w:hint="eastAsia"/>
                <w:sz w:val="24"/>
                <w:vertAlign w:val="subscript"/>
                <w:lang w:val="en-US" w:eastAsia="zh-CN"/>
              </w:rPr>
              <w:t>2</w:t>
            </w:r>
            <w:r>
              <w:rPr>
                <w:rFonts w:hint="eastAsia"/>
                <w:szCs w:val="21"/>
              </w:rPr>
              <w:t>O(%)≤</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0.6</w:t>
            </w:r>
          </w:p>
        </w:tc>
        <w:tc>
          <w:tcPr>
            <w:tcW w:w="2758"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left"/>
              <w:rPr>
                <w:szCs w:val="21"/>
              </w:rPr>
            </w:pPr>
            <w:r>
              <w:rPr>
                <w:rFonts w:hint="eastAsia"/>
                <w:szCs w:val="21"/>
              </w:rPr>
              <w:t>怀疑集料有碱活性时，0.6；无碱活性集料时，1.0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szCs w:val="21"/>
              </w:rPr>
            </w:pP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7</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氯离子含量(%)≤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0.06</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szCs w:val="21"/>
              </w:rPr>
            </w:pPr>
            <w:r>
              <w:rPr>
                <w:rFonts w:hint="eastAsia"/>
                <w:szCs w:val="21"/>
              </w:rPr>
              <w:t>0.06</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szCs w:val="21"/>
              </w:rPr>
            </w:pPr>
          </w:p>
        </w:tc>
      </w:tr>
      <w:tr>
        <w:tblPrEx>
          <w:tblLayout w:type="fixed"/>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szCs w:val="21"/>
              </w:rPr>
            </w:pPr>
            <w:r>
              <w:rPr>
                <w:rFonts w:hint="eastAsia"/>
                <w:szCs w:val="21"/>
              </w:rPr>
              <w:t>8</w:t>
            </w:r>
          </w:p>
        </w:tc>
        <w:tc>
          <w:tcPr>
            <w:tcW w:w="2978"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szCs w:val="21"/>
              </w:rPr>
            </w:pPr>
            <w:r>
              <w:rPr>
                <w:rFonts w:hint="eastAsia"/>
                <w:szCs w:val="21"/>
              </w:rPr>
              <w:t>混合材种类</w:t>
            </w:r>
          </w:p>
        </w:tc>
        <w:tc>
          <w:tcPr>
            <w:tcW w:w="2870"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left"/>
              <w:rPr>
                <w:szCs w:val="21"/>
              </w:rPr>
            </w:pPr>
            <w:r>
              <w:rPr>
                <w:rFonts w:hint="eastAsia"/>
                <w:szCs w:val="21"/>
              </w:rPr>
              <w:t>不得掺窑灰、煤矸石、火山灰、烧黏土、煤渣，有抗盐冻要求时不得掺石灰岩粉</w:t>
            </w:r>
          </w:p>
        </w:tc>
        <w:tc>
          <w:tcPr>
            <w:tcW w:w="2758"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left"/>
              <w:rPr>
                <w:szCs w:val="21"/>
              </w:rPr>
            </w:pPr>
            <w:r>
              <w:rPr>
                <w:rFonts w:hint="eastAsia"/>
                <w:szCs w:val="21"/>
              </w:rPr>
              <w:t>不得掺窑灰、煤矸石、火山灰、烧黏土、煤渣，有抗盐冻要求时不得掺石灰岩粉</w:t>
            </w:r>
          </w:p>
        </w:tc>
        <w:tc>
          <w:tcPr>
            <w:tcW w:w="1121" w:type="dxa"/>
            <w:tcBorders>
              <w:top w:val="single" w:color="auto" w:sz="6" w:space="0"/>
              <w:left w:val="single" w:color="auto" w:sz="6" w:space="0"/>
              <w:bottom w:val="single" w:color="auto" w:sz="12" w:space="0"/>
              <w:right w:val="single" w:color="auto" w:sz="12" w:space="0"/>
            </w:tcBorders>
            <w:shd w:val="clear" w:color="000000" w:fill="FFFFFF"/>
            <w:noWrap/>
            <w:vAlign w:val="center"/>
          </w:tcPr>
          <w:p>
            <w:pPr>
              <w:widowControl/>
              <w:jc w:val="center"/>
              <w:rPr>
                <w:szCs w:val="21"/>
              </w:rPr>
            </w:pPr>
            <w:r>
              <w:rPr>
                <w:rFonts w:hint="eastAsia"/>
                <w:szCs w:val="21"/>
              </w:rPr>
              <w:t>水泥厂提供</w:t>
            </w:r>
          </w:p>
        </w:tc>
      </w:tr>
    </w:tbl>
    <w:p>
      <w:pPr>
        <w:adjustRightInd w:val="0"/>
        <w:spacing w:line="180" w:lineRule="exact"/>
        <w:ind w:firstLine="480" w:firstLineChars="200"/>
        <w:rPr>
          <w:sz w:val="24"/>
        </w:rPr>
      </w:pPr>
    </w:p>
    <w:p>
      <w:pPr>
        <w:adjustRightInd w:val="0"/>
        <w:spacing w:line="360" w:lineRule="auto"/>
        <w:ind w:firstLine="480" w:firstLineChars="200"/>
        <w:rPr>
          <w:sz w:val="24"/>
        </w:rPr>
      </w:pPr>
      <w:r>
        <w:rPr>
          <w:rFonts w:hint="eastAsia"/>
          <w:sz w:val="24"/>
        </w:rPr>
        <w:t>面层水泥混凝土所用水泥的物理指标应符合下表。</w:t>
      </w:r>
    </w:p>
    <w:tbl>
      <w:tblPr>
        <w:tblStyle w:val="6"/>
        <w:tblW w:w="10035" w:type="dxa"/>
        <w:jc w:val="center"/>
        <w:tblInd w:w="0" w:type="dxa"/>
        <w:tblLayout w:type="fixed"/>
        <w:tblCellMar>
          <w:top w:w="0" w:type="dxa"/>
          <w:left w:w="108" w:type="dxa"/>
          <w:bottom w:w="0" w:type="dxa"/>
          <w:right w:w="108" w:type="dxa"/>
        </w:tblCellMar>
      </w:tblPr>
      <w:tblGrid>
        <w:gridCol w:w="659"/>
        <w:gridCol w:w="1134"/>
        <w:gridCol w:w="1347"/>
        <w:gridCol w:w="3208"/>
        <w:gridCol w:w="2184"/>
        <w:gridCol w:w="1503"/>
      </w:tblGrid>
      <w:tr>
        <w:tblPrEx>
          <w:tblLayout w:type="fixed"/>
          <w:tblCellMar>
            <w:top w:w="0" w:type="dxa"/>
            <w:left w:w="108" w:type="dxa"/>
            <w:bottom w:w="0" w:type="dxa"/>
            <w:right w:w="108" w:type="dxa"/>
          </w:tblCellMar>
        </w:tblPrEx>
        <w:trPr>
          <w:trHeight w:val="510" w:hRule="exact"/>
          <w:jc w:val="center"/>
        </w:trPr>
        <w:tc>
          <w:tcPr>
            <w:tcW w:w="10035" w:type="dxa"/>
            <w:gridSpan w:val="6"/>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bookmarkStart w:id="4" w:name="_Hlk48130536"/>
            <w:r>
              <w:rPr>
                <w:rFonts w:hint="eastAsia" w:ascii="宋体" w:hAnsi="宋体" w:cs="宋体"/>
                <w:kern w:val="0"/>
                <w:sz w:val="24"/>
              </w:rPr>
              <w:t>各交通荷载等级公路面层水泥混凝土用水泥的物理指标要求</w:t>
            </w: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项次</w:t>
            </w:r>
          </w:p>
        </w:tc>
        <w:tc>
          <w:tcPr>
            <w:tcW w:w="2481"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水泥物理性能</w:t>
            </w:r>
          </w:p>
        </w:tc>
        <w:tc>
          <w:tcPr>
            <w:tcW w:w="3208"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极重、特重、重交通荷载等级</w:t>
            </w:r>
          </w:p>
        </w:tc>
        <w:tc>
          <w:tcPr>
            <w:tcW w:w="2184"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中、轻交通荷载等级</w:t>
            </w:r>
          </w:p>
        </w:tc>
        <w:tc>
          <w:tcPr>
            <w:tcW w:w="1503" w:type="dxa"/>
            <w:tcBorders>
              <w:top w:val="single" w:color="auto" w:sz="12" w:space="0"/>
              <w:left w:val="single" w:color="auto" w:sz="6" w:space="0"/>
              <w:bottom w:val="single" w:color="auto" w:sz="6" w:space="0"/>
              <w:right w:val="single" w:color="auto" w:sz="12"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试验方法</w:t>
            </w: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出磨时安定性</w:t>
            </w:r>
          </w:p>
        </w:tc>
        <w:tc>
          <w:tcPr>
            <w:tcW w:w="3208"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雷氏夹和蒸煮法检验均必须合格</w:t>
            </w:r>
          </w:p>
        </w:tc>
        <w:tc>
          <w:tcPr>
            <w:tcW w:w="218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蒸煮法检验必须合格</w:t>
            </w:r>
          </w:p>
        </w:tc>
        <w:tc>
          <w:tcPr>
            <w:tcW w:w="1503"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E30 T0505</w:t>
            </w:r>
          </w:p>
        </w:tc>
      </w:tr>
      <w:tr>
        <w:tblPrEx>
          <w:tblLayout w:type="fixed"/>
          <w:tblCellMar>
            <w:top w:w="0" w:type="dxa"/>
            <w:left w:w="108" w:type="dxa"/>
            <w:bottom w:w="0" w:type="dxa"/>
            <w:right w:w="108" w:type="dxa"/>
          </w:tblCellMar>
        </w:tblPrEx>
        <w:trPr>
          <w:trHeight w:val="397" w:hRule="atLeast"/>
          <w:jc w:val="center"/>
        </w:trPr>
        <w:tc>
          <w:tcPr>
            <w:tcW w:w="659"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134"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凝结时间(h)</w:t>
            </w:r>
          </w:p>
        </w:tc>
        <w:tc>
          <w:tcPr>
            <w:tcW w:w="134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初凝时间≥</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0.75</w:t>
            </w:r>
          </w:p>
        </w:tc>
        <w:tc>
          <w:tcPr>
            <w:tcW w:w="1503"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659"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134" w:type="dxa"/>
            <w:vMerge w:val="continue"/>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Cs w:val="21"/>
              </w:rPr>
            </w:pPr>
          </w:p>
        </w:tc>
        <w:tc>
          <w:tcPr>
            <w:tcW w:w="134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终凝时间≤</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1503"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标准稠度需水量(%)≤</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28.0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30.0</w:t>
            </w:r>
          </w:p>
        </w:tc>
        <w:tc>
          <w:tcPr>
            <w:tcW w:w="1503" w:type="dxa"/>
            <w:vMerge w:val="continue"/>
            <w:tcBorders>
              <w:top w:val="single" w:color="auto" w:sz="6" w:space="0"/>
              <w:left w:val="single" w:color="auto" w:sz="6" w:space="0"/>
              <w:bottom w:val="single" w:color="auto" w:sz="6" w:space="0"/>
              <w:right w:val="single" w:color="auto" w:sz="12"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4</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比表面积(m</w:t>
            </w:r>
            <w:r>
              <w:rPr>
                <w:rFonts w:hint="eastAsia" w:ascii="宋体" w:hAnsi="宋体" w:cs="宋体"/>
                <w:kern w:val="0"/>
                <w:szCs w:val="21"/>
                <w:vertAlign w:val="superscript"/>
              </w:rPr>
              <w:t>2</w:t>
            </w:r>
            <w:r>
              <w:rPr>
                <w:rFonts w:hint="eastAsia" w:ascii="宋体" w:hAnsi="宋体" w:cs="宋体"/>
                <w:kern w:val="0"/>
                <w:szCs w:val="21"/>
              </w:rPr>
              <w:t>/kg)</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300～450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300～450</w:t>
            </w:r>
          </w:p>
        </w:tc>
        <w:tc>
          <w:tcPr>
            <w:tcW w:w="1503" w:type="dxa"/>
            <w:tcBorders>
              <w:top w:val="single" w:color="auto" w:sz="6" w:space="0"/>
              <w:left w:val="single" w:color="auto" w:sz="6" w:space="0"/>
              <w:bottom w:val="single" w:color="auto" w:sz="6" w:space="0"/>
              <w:right w:val="single" w:color="auto" w:sz="12"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JTG E30 T0504</w:t>
            </w: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细度(80μm筛余)(%)≤</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1503" w:type="dxa"/>
            <w:tcBorders>
              <w:top w:val="single" w:color="auto" w:sz="6" w:space="0"/>
              <w:left w:val="single" w:color="auto" w:sz="6" w:space="0"/>
              <w:bottom w:val="single" w:color="auto" w:sz="6" w:space="0"/>
              <w:right w:val="single" w:color="auto" w:sz="12"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JTG E30 T0502</w:t>
            </w: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6</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28d干缩率(%)≤</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0.09</w:t>
            </w:r>
          </w:p>
        </w:tc>
        <w:tc>
          <w:tcPr>
            <w:tcW w:w="218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1503" w:type="dxa"/>
            <w:tcBorders>
              <w:top w:val="single" w:color="auto" w:sz="6" w:space="0"/>
              <w:left w:val="single" w:color="auto" w:sz="6" w:space="0"/>
              <w:bottom w:val="single" w:color="auto" w:sz="6" w:space="0"/>
              <w:right w:val="single" w:color="auto" w:sz="12"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JTG E30 T0511</w:t>
            </w:r>
          </w:p>
        </w:tc>
      </w:tr>
      <w:tr>
        <w:tblPrEx>
          <w:tblLayout w:type="fixed"/>
          <w:tblCellMar>
            <w:top w:w="0" w:type="dxa"/>
            <w:left w:w="108" w:type="dxa"/>
            <w:bottom w:w="0" w:type="dxa"/>
            <w:right w:w="108" w:type="dxa"/>
          </w:tblCellMar>
        </w:tblPrEx>
        <w:trPr>
          <w:trHeight w:val="397" w:hRule="atLeast"/>
          <w:jc w:val="center"/>
        </w:trPr>
        <w:tc>
          <w:tcPr>
            <w:tcW w:w="659" w:type="dxa"/>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7</w:t>
            </w:r>
          </w:p>
        </w:tc>
        <w:tc>
          <w:tcPr>
            <w:tcW w:w="2481"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耐磨性(kg/m²)≤</w:t>
            </w:r>
          </w:p>
        </w:tc>
        <w:tc>
          <w:tcPr>
            <w:tcW w:w="3208" w:type="dxa"/>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w:t>
            </w:r>
          </w:p>
        </w:tc>
        <w:tc>
          <w:tcPr>
            <w:tcW w:w="218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3.0</w:t>
            </w:r>
          </w:p>
        </w:tc>
        <w:tc>
          <w:tcPr>
            <w:tcW w:w="1503" w:type="dxa"/>
            <w:tcBorders>
              <w:top w:val="single" w:color="auto" w:sz="6" w:space="0"/>
              <w:left w:val="single" w:color="auto" w:sz="6" w:space="0"/>
              <w:bottom w:val="single" w:color="auto" w:sz="12" w:space="0"/>
              <w:right w:val="single" w:color="auto" w:sz="12"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JTG E30 T0510</w:t>
            </w:r>
          </w:p>
        </w:tc>
      </w:tr>
    </w:tbl>
    <w:p>
      <w:pPr>
        <w:adjustRightInd w:val="0"/>
        <w:spacing w:line="180" w:lineRule="exact"/>
        <w:ind w:right="53" w:rightChars="25" w:firstLine="498" w:firstLineChars="200"/>
        <w:rPr>
          <w:rFonts w:ascii="宋体" w:hAnsi="宋体"/>
          <w:b/>
          <w:spacing w:val="4"/>
          <w:sz w:val="24"/>
        </w:rPr>
      </w:pPr>
    </w:p>
    <w:p>
      <w:pPr>
        <w:adjustRightInd w:val="0"/>
        <w:spacing w:line="360" w:lineRule="auto"/>
        <w:ind w:right="53" w:rightChars="25" w:firstLine="578" w:firstLineChars="200"/>
        <w:rPr>
          <w:b/>
          <w:bCs/>
          <w:sz w:val="28"/>
          <w:szCs w:val="28"/>
        </w:rPr>
      </w:pPr>
      <w:r>
        <w:rPr>
          <w:rFonts w:hint="eastAsia" w:ascii="宋体" w:hAnsi="宋体"/>
          <w:b/>
          <w:spacing w:val="4"/>
          <w:sz w:val="28"/>
          <w:szCs w:val="28"/>
        </w:rPr>
        <w:t>5.</w:t>
      </w:r>
      <w:r>
        <w:rPr>
          <w:rFonts w:ascii="宋体" w:hAnsi="宋体"/>
          <w:b/>
          <w:spacing w:val="4"/>
          <w:sz w:val="28"/>
          <w:szCs w:val="28"/>
        </w:rPr>
        <w:t>1</w:t>
      </w:r>
      <w:r>
        <w:rPr>
          <w:rFonts w:hint="eastAsia" w:ascii="宋体" w:hAnsi="宋体"/>
          <w:b/>
          <w:spacing w:val="4"/>
          <w:sz w:val="28"/>
          <w:szCs w:val="28"/>
        </w:rPr>
        <w:t xml:space="preserve">.2 </w:t>
      </w:r>
      <w:r>
        <w:rPr>
          <w:rFonts w:hint="eastAsia"/>
          <w:b/>
          <w:bCs/>
          <w:sz w:val="28"/>
          <w:szCs w:val="28"/>
        </w:rPr>
        <w:t>粗集料</w:t>
      </w:r>
    </w:p>
    <w:bookmarkEnd w:id="4"/>
    <w:p>
      <w:pPr>
        <w:spacing w:line="360" w:lineRule="auto"/>
        <w:ind w:firstLine="496" w:firstLineChars="200"/>
        <w:rPr>
          <w:rFonts w:ascii="宋体" w:hAnsi="宋体"/>
          <w:spacing w:val="4"/>
          <w:sz w:val="24"/>
        </w:rPr>
      </w:pPr>
      <w:r>
        <w:rPr>
          <w:rFonts w:hint="eastAsia" w:ascii="宋体" w:hAnsi="宋体"/>
          <w:spacing w:val="4"/>
          <w:sz w:val="24"/>
        </w:rPr>
        <w:t>水泥混凝土路面用的粗集料应使用质地坚硬、耐久、干净的碎石。特重、重交通荷载等级公路面层混凝土用粗集料质量不应低于下表Ⅱ级的要求；中、轻交通荷载等级公路面层混凝土可使用Ⅲ级粗集料。</w:t>
      </w:r>
    </w:p>
    <w:tbl>
      <w:tblPr>
        <w:tblStyle w:val="6"/>
        <w:tblW w:w="10050" w:type="dxa"/>
        <w:jc w:val="center"/>
        <w:tblInd w:w="0" w:type="dxa"/>
        <w:tblLayout w:type="fixed"/>
        <w:tblCellMar>
          <w:top w:w="0" w:type="dxa"/>
          <w:left w:w="108" w:type="dxa"/>
          <w:bottom w:w="0" w:type="dxa"/>
          <w:right w:w="108" w:type="dxa"/>
        </w:tblCellMar>
      </w:tblPr>
      <w:tblGrid>
        <w:gridCol w:w="2457"/>
        <w:gridCol w:w="1559"/>
        <w:gridCol w:w="1491"/>
        <w:gridCol w:w="1491"/>
        <w:gridCol w:w="1492"/>
        <w:gridCol w:w="1560"/>
      </w:tblGrid>
      <w:tr>
        <w:tblPrEx>
          <w:tblLayout w:type="fixed"/>
          <w:tblCellMar>
            <w:top w:w="0" w:type="dxa"/>
            <w:left w:w="108" w:type="dxa"/>
            <w:bottom w:w="0" w:type="dxa"/>
            <w:right w:w="108" w:type="dxa"/>
          </w:tblCellMar>
        </w:tblPrEx>
        <w:trPr>
          <w:trHeight w:val="510" w:hRule="exact"/>
          <w:jc w:val="center"/>
        </w:trPr>
        <w:tc>
          <w:tcPr>
            <w:tcW w:w="10050" w:type="dxa"/>
            <w:gridSpan w:val="6"/>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碎石、破碎卵石和卵石质量标准</w:t>
            </w:r>
          </w:p>
        </w:tc>
      </w:tr>
      <w:tr>
        <w:tblPrEx>
          <w:tblLayout w:type="fixed"/>
          <w:tblCellMar>
            <w:top w:w="0" w:type="dxa"/>
            <w:left w:w="108" w:type="dxa"/>
            <w:bottom w:w="0" w:type="dxa"/>
            <w:right w:w="108" w:type="dxa"/>
          </w:tblCellMar>
        </w:tblPrEx>
        <w:trPr>
          <w:trHeight w:val="397" w:hRule="atLeast"/>
          <w:jc w:val="center"/>
        </w:trPr>
        <w:tc>
          <w:tcPr>
            <w:tcW w:w="4016"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指标</w:t>
            </w:r>
          </w:p>
        </w:tc>
        <w:tc>
          <w:tcPr>
            <w:tcW w:w="4474"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技术要求</w:t>
            </w:r>
          </w:p>
        </w:tc>
        <w:tc>
          <w:tcPr>
            <w:tcW w:w="1560"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试验方法</w:t>
            </w:r>
          </w:p>
        </w:tc>
      </w:tr>
      <w:tr>
        <w:tblPrEx>
          <w:tblLayout w:type="fixed"/>
          <w:tblCellMar>
            <w:top w:w="0" w:type="dxa"/>
            <w:left w:w="108" w:type="dxa"/>
            <w:bottom w:w="0" w:type="dxa"/>
            <w:right w:w="108" w:type="dxa"/>
          </w:tblCellMar>
        </w:tblPrEx>
        <w:trPr>
          <w:trHeight w:val="397" w:hRule="atLeast"/>
          <w:jc w:val="center"/>
        </w:trPr>
        <w:tc>
          <w:tcPr>
            <w:tcW w:w="401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Ⅰ级</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Ⅱ级</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Ⅲ级</w:t>
            </w:r>
          </w:p>
        </w:tc>
        <w:tc>
          <w:tcPr>
            <w:tcW w:w="156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碎石压碎值(%)≤</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18</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T0316</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卵石压碎值(%)≤</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21</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23</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26</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T0316</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坚固性(按质量损失计)(%)≤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T0314</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针片状颗粒含量(按质量计)(%)≤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T0311</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含泥量(按质量计)(%)≤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T0310</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泥块含量(按质量计)(%)≤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0.2</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0.7</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T0310</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吸水率(按质量计)(%)≤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T0307</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硫化物及硫酸盐含量(按SO</w:t>
            </w:r>
            <w:r>
              <w:rPr>
                <w:rFonts w:hint="eastAsia" w:ascii="宋体" w:hAnsi="宋体" w:cs="宋体"/>
                <w:kern w:val="0"/>
                <w:szCs w:val="21"/>
                <w:vertAlign w:val="subscript"/>
              </w:rPr>
              <w:t>3</w:t>
            </w:r>
            <w:r>
              <w:rPr>
                <w:rFonts w:hint="eastAsia" w:ascii="宋体" w:hAnsi="宋体" w:cs="宋体"/>
                <w:kern w:val="0"/>
                <w:szCs w:val="21"/>
              </w:rPr>
              <w:t>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GB/T 14685</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洛杉矶磨耗损失(%)≤</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28</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35</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T0317</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有机物含量(比色法)</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合格</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合格</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合格</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T0313</w:t>
            </w:r>
          </w:p>
        </w:tc>
      </w:tr>
      <w:tr>
        <w:tblPrEx>
          <w:tblLayout w:type="fixed"/>
          <w:tblCellMar>
            <w:top w:w="0" w:type="dxa"/>
            <w:left w:w="108" w:type="dxa"/>
            <w:bottom w:w="0" w:type="dxa"/>
            <w:right w:w="108" w:type="dxa"/>
          </w:tblCellMar>
        </w:tblPrEx>
        <w:trPr>
          <w:trHeight w:val="397" w:hRule="atLeast"/>
          <w:jc w:val="center"/>
        </w:trPr>
        <w:tc>
          <w:tcPr>
            <w:tcW w:w="2457"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岩石抗压强度(Mpa)≥</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岩浆岩</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100</w:t>
            </w:r>
          </w:p>
        </w:tc>
        <w:tc>
          <w:tcPr>
            <w:tcW w:w="1560"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E41 T0221</w:t>
            </w:r>
          </w:p>
        </w:tc>
      </w:tr>
      <w:tr>
        <w:tblPrEx>
          <w:tblLayout w:type="fixed"/>
          <w:tblCellMar>
            <w:top w:w="0" w:type="dxa"/>
            <w:left w:w="108" w:type="dxa"/>
            <w:bottom w:w="0" w:type="dxa"/>
            <w:right w:w="108" w:type="dxa"/>
          </w:tblCellMar>
        </w:tblPrEx>
        <w:trPr>
          <w:trHeight w:val="397" w:hRule="atLeast"/>
          <w:jc w:val="center"/>
        </w:trPr>
        <w:tc>
          <w:tcPr>
            <w:tcW w:w="2457"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变质岩</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80</w:t>
            </w:r>
          </w:p>
        </w:tc>
        <w:tc>
          <w:tcPr>
            <w:tcW w:w="156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457"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沉积岩</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60</w:t>
            </w:r>
          </w:p>
        </w:tc>
        <w:tc>
          <w:tcPr>
            <w:tcW w:w="156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表观密度(kg/m</w:t>
            </w:r>
            <w:r>
              <w:rPr>
                <w:rFonts w:hint="eastAsia" w:ascii="宋体" w:hAnsi="宋体" w:cs="宋体"/>
                <w:kern w:val="0"/>
                <w:szCs w:val="21"/>
                <w:vertAlign w:val="superscript"/>
              </w:rPr>
              <w:t>3</w:t>
            </w:r>
            <w:r>
              <w:rPr>
                <w:rFonts w:hint="eastAsia" w:ascii="宋体" w:hAnsi="宋体" w:cs="宋体"/>
                <w:kern w:val="0"/>
                <w:szCs w:val="21"/>
              </w:rPr>
              <w:t>)≥</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2500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T0308</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松散堆积密度(kg/m</w:t>
            </w:r>
            <w:r>
              <w:rPr>
                <w:rFonts w:hint="eastAsia" w:ascii="宋体" w:hAnsi="宋体" w:cs="宋体"/>
                <w:kern w:val="0"/>
                <w:szCs w:val="21"/>
                <w:vertAlign w:val="superscript"/>
              </w:rPr>
              <w:t>3</w:t>
            </w:r>
            <w:r>
              <w:rPr>
                <w:rFonts w:hint="eastAsia" w:ascii="宋体" w:hAnsi="宋体" w:cs="宋体"/>
                <w:kern w:val="0"/>
                <w:szCs w:val="21"/>
              </w:rPr>
              <w:t>)≥</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1350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T0309</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空隙率(%)≤</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47</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T0309</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磨光值(%)≤</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35</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T0321</w:t>
            </w:r>
          </w:p>
        </w:tc>
      </w:tr>
      <w:tr>
        <w:tblPrEx>
          <w:tblLayout w:type="fixed"/>
          <w:tblCellMar>
            <w:top w:w="0" w:type="dxa"/>
            <w:left w:w="108" w:type="dxa"/>
            <w:bottom w:w="0" w:type="dxa"/>
            <w:right w:w="108" w:type="dxa"/>
          </w:tblCellMar>
        </w:tblPrEx>
        <w:trPr>
          <w:trHeight w:val="397" w:hRule="atLeast"/>
          <w:jc w:val="center"/>
        </w:trPr>
        <w:tc>
          <w:tcPr>
            <w:tcW w:w="4016"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碱活性反应</w:t>
            </w:r>
          </w:p>
        </w:tc>
        <w:tc>
          <w:tcPr>
            <w:tcW w:w="4474"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不得有碱活性反应或疑似碱活性反应</w:t>
            </w:r>
          </w:p>
        </w:tc>
        <w:tc>
          <w:tcPr>
            <w:tcW w:w="1560" w:type="dxa"/>
            <w:tcBorders>
              <w:top w:val="single" w:color="auto" w:sz="6" w:space="0"/>
              <w:left w:val="single" w:color="auto" w:sz="6" w:space="0"/>
              <w:bottom w:val="single" w:color="auto" w:sz="12"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T0325</w:t>
            </w:r>
          </w:p>
        </w:tc>
      </w:tr>
    </w:tbl>
    <w:p>
      <w:pPr>
        <w:spacing w:line="180" w:lineRule="exact"/>
        <w:ind w:firstLine="480" w:firstLineChars="200"/>
        <w:rPr>
          <w:sz w:val="24"/>
        </w:rPr>
      </w:pPr>
    </w:p>
    <w:p>
      <w:pPr>
        <w:spacing w:line="360" w:lineRule="auto"/>
        <w:ind w:firstLine="480" w:firstLineChars="200"/>
        <w:rPr>
          <w:sz w:val="24"/>
        </w:rPr>
      </w:pPr>
      <w:r>
        <w:rPr>
          <w:rFonts w:hint="eastAsia"/>
          <w:sz w:val="24"/>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0135" w:type="dxa"/>
        <w:jc w:val="center"/>
        <w:tblInd w:w="0" w:type="dxa"/>
        <w:tblLayout w:type="fixed"/>
        <w:tblCellMar>
          <w:top w:w="0" w:type="dxa"/>
          <w:left w:w="108" w:type="dxa"/>
          <w:bottom w:w="0" w:type="dxa"/>
          <w:right w:w="108" w:type="dxa"/>
        </w:tblCellMar>
      </w:tblPr>
      <w:tblGrid>
        <w:gridCol w:w="426"/>
        <w:gridCol w:w="1274"/>
        <w:gridCol w:w="964"/>
        <w:gridCol w:w="964"/>
        <w:gridCol w:w="964"/>
        <w:gridCol w:w="964"/>
        <w:gridCol w:w="960"/>
        <w:gridCol w:w="953"/>
        <w:gridCol w:w="935"/>
        <w:gridCol w:w="831"/>
        <w:gridCol w:w="900"/>
      </w:tblGrid>
      <w:tr>
        <w:tblPrEx>
          <w:tblLayout w:type="fixed"/>
          <w:tblCellMar>
            <w:top w:w="0" w:type="dxa"/>
            <w:left w:w="108" w:type="dxa"/>
            <w:bottom w:w="0" w:type="dxa"/>
            <w:right w:w="108" w:type="dxa"/>
          </w:tblCellMar>
        </w:tblPrEx>
        <w:trPr>
          <w:trHeight w:val="510" w:hRule="exact"/>
          <w:jc w:val="center"/>
        </w:trPr>
        <w:tc>
          <w:tcPr>
            <w:tcW w:w="10135" w:type="dxa"/>
            <w:gridSpan w:val="11"/>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粗集料与再生粗集料级配范围</w:t>
            </w:r>
          </w:p>
        </w:tc>
      </w:tr>
      <w:tr>
        <w:tblPrEx>
          <w:tblLayout w:type="fixed"/>
          <w:tblCellMar>
            <w:top w:w="0" w:type="dxa"/>
            <w:left w:w="108" w:type="dxa"/>
            <w:bottom w:w="0" w:type="dxa"/>
            <w:right w:w="108" w:type="dxa"/>
          </w:tblCellMar>
        </w:tblPrEx>
        <w:trPr>
          <w:trHeight w:val="397" w:hRule="atLeast"/>
          <w:jc w:val="center"/>
        </w:trPr>
        <w:tc>
          <w:tcPr>
            <w:tcW w:w="1700"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方孔筛尺寸(mm)</w:t>
            </w:r>
          </w:p>
        </w:tc>
        <w:tc>
          <w:tcPr>
            <w:tcW w:w="964"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2.36</w:t>
            </w:r>
          </w:p>
        </w:tc>
        <w:tc>
          <w:tcPr>
            <w:tcW w:w="964"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w:t>
            </w:r>
          </w:p>
        </w:tc>
        <w:tc>
          <w:tcPr>
            <w:tcW w:w="964"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w:t>
            </w:r>
          </w:p>
        </w:tc>
        <w:tc>
          <w:tcPr>
            <w:tcW w:w="964"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16</w:t>
            </w:r>
          </w:p>
        </w:tc>
        <w:tc>
          <w:tcPr>
            <w:tcW w:w="960"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19</w:t>
            </w:r>
          </w:p>
        </w:tc>
        <w:tc>
          <w:tcPr>
            <w:tcW w:w="953"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26.5</w:t>
            </w:r>
          </w:p>
        </w:tc>
        <w:tc>
          <w:tcPr>
            <w:tcW w:w="935"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31.5</w:t>
            </w:r>
          </w:p>
        </w:tc>
        <w:tc>
          <w:tcPr>
            <w:tcW w:w="831"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37.5</w:t>
            </w:r>
          </w:p>
        </w:tc>
        <w:tc>
          <w:tcPr>
            <w:tcW w:w="900"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试  验</w:t>
            </w:r>
          </w:p>
          <w:p>
            <w:pPr>
              <w:widowControl/>
              <w:jc w:val="center"/>
              <w:rPr>
                <w:rFonts w:ascii="宋体" w:hAnsi="宋体" w:cs="宋体"/>
                <w:kern w:val="0"/>
                <w:szCs w:val="21"/>
              </w:rPr>
            </w:pPr>
            <w:r>
              <w:rPr>
                <w:rFonts w:hint="eastAsia" w:ascii="宋体" w:hAnsi="宋体" w:cs="宋体"/>
                <w:kern w:val="0"/>
                <w:szCs w:val="21"/>
              </w:rPr>
              <w:t>方  法</w:t>
            </w:r>
          </w:p>
        </w:tc>
      </w:tr>
      <w:tr>
        <w:tblPrEx>
          <w:tblLayout w:type="fixed"/>
          <w:tblCellMar>
            <w:top w:w="0" w:type="dxa"/>
            <w:left w:w="108" w:type="dxa"/>
            <w:bottom w:w="0" w:type="dxa"/>
            <w:right w:w="108" w:type="dxa"/>
          </w:tblCellMar>
        </w:tblPrEx>
        <w:trPr>
          <w:trHeight w:val="397" w:hRule="atLeast"/>
          <w:jc w:val="center"/>
        </w:trPr>
        <w:tc>
          <w:tcPr>
            <w:tcW w:w="1700"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级配类型</w:t>
            </w:r>
          </w:p>
        </w:tc>
        <w:tc>
          <w:tcPr>
            <w:tcW w:w="7535"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累计筛余(以质量计)(%)</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合成</w:t>
            </w:r>
            <w:r>
              <w:rPr>
                <w:rFonts w:hint="eastAsia" w:ascii="宋体" w:hAnsi="宋体" w:cs="宋体"/>
                <w:kern w:val="0"/>
                <w:szCs w:val="21"/>
              </w:rPr>
              <w:br w:type="textWrapping"/>
            </w:r>
            <w:r>
              <w:rPr>
                <w:rFonts w:hint="eastAsia" w:ascii="宋体" w:hAnsi="宋体" w:cs="宋体"/>
                <w:kern w:val="0"/>
                <w:szCs w:val="21"/>
              </w:rPr>
              <w:t>级配</w:t>
            </w: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4.75～16</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40～60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00"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JTG E42 T0302</w:t>
            </w: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4.75～19</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85～95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60～75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30～45</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0～5</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4.75～26.5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70～90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50～70</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25～40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0～5</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　</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4.75～31.5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75～90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60～75</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40～60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20～35</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0～5</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单粒级</w:t>
            </w:r>
            <w:r>
              <w:rPr>
                <w:rFonts w:hint="eastAsia" w:ascii="宋体" w:hAnsi="宋体" w:cs="宋体"/>
                <w:kern w:val="0"/>
                <w:szCs w:val="21"/>
              </w:rPr>
              <w:br w:type="textWrapping"/>
            </w:r>
            <w:r>
              <w:rPr>
                <w:rFonts w:hint="eastAsia" w:ascii="宋体" w:hAnsi="宋体" w:cs="宋体"/>
                <w:kern w:val="0"/>
                <w:szCs w:val="21"/>
              </w:rPr>
              <w:t>级配</w:t>
            </w: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4.75～9.5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80～100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9.5～16</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80～100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0～15</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9.5～19</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40～60</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0～15</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16～26.5</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55～70</w:t>
            </w:r>
          </w:p>
        </w:tc>
        <w:tc>
          <w:tcPr>
            <w:tcW w:w="960"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25～40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26" w:type="dxa"/>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宋体" w:hAnsi="宋体" w:cs="宋体"/>
                <w:kern w:val="0"/>
                <w:szCs w:val="21"/>
              </w:rPr>
            </w:pPr>
          </w:p>
        </w:tc>
        <w:tc>
          <w:tcPr>
            <w:tcW w:w="127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16～31.5</w:t>
            </w:r>
          </w:p>
        </w:tc>
        <w:tc>
          <w:tcPr>
            <w:tcW w:w="96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6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96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95～100</w:t>
            </w:r>
          </w:p>
        </w:tc>
        <w:tc>
          <w:tcPr>
            <w:tcW w:w="96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85～100</w:t>
            </w:r>
          </w:p>
        </w:tc>
        <w:tc>
          <w:tcPr>
            <w:tcW w:w="960"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55～70</w:t>
            </w:r>
          </w:p>
        </w:tc>
        <w:tc>
          <w:tcPr>
            <w:tcW w:w="953"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25～40</w:t>
            </w:r>
          </w:p>
        </w:tc>
        <w:tc>
          <w:tcPr>
            <w:tcW w:w="935"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831"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w:t>
            </w:r>
          </w:p>
        </w:tc>
        <w:tc>
          <w:tcPr>
            <w:tcW w:w="900" w:type="dxa"/>
            <w:vMerge w:val="continue"/>
            <w:tcBorders>
              <w:top w:val="single" w:color="auto" w:sz="6" w:space="0"/>
              <w:left w:val="single" w:color="auto" w:sz="6" w:space="0"/>
              <w:bottom w:val="single" w:color="auto" w:sz="12" w:space="0"/>
              <w:right w:val="single" w:color="auto" w:sz="12" w:space="0"/>
            </w:tcBorders>
            <w:vAlign w:val="center"/>
          </w:tcPr>
          <w:p>
            <w:pPr>
              <w:widowControl/>
              <w:jc w:val="left"/>
              <w:rPr>
                <w:rFonts w:ascii="宋体" w:hAnsi="宋体" w:cs="宋体"/>
                <w:kern w:val="0"/>
                <w:szCs w:val="21"/>
              </w:rPr>
            </w:pPr>
          </w:p>
        </w:tc>
      </w:tr>
    </w:tbl>
    <w:p>
      <w:pPr>
        <w:spacing w:line="180" w:lineRule="exact"/>
        <w:ind w:firstLine="480" w:firstLineChars="200"/>
        <w:rPr>
          <w:rFonts w:ascii="宋体" w:hAnsi="宋体"/>
          <w:sz w:val="24"/>
        </w:rPr>
      </w:pPr>
    </w:p>
    <w:p>
      <w:pPr>
        <w:adjustRightInd w:val="0"/>
        <w:spacing w:line="360" w:lineRule="auto"/>
        <w:ind w:right="53" w:rightChars="25" w:firstLine="578" w:firstLineChars="200"/>
        <w:rPr>
          <w:rFonts w:ascii="宋体" w:hAnsi="宋体"/>
          <w:b/>
          <w:spacing w:val="4"/>
          <w:sz w:val="28"/>
          <w:szCs w:val="28"/>
        </w:rPr>
      </w:pPr>
      <w:r>
        <w:rPr>
          <w:rFonts w:hint="eastAsia" w:ascii="宋体" w:hAnsi="宋体"/>
          <w:b/>
          <w:spacing w:val="4"/>
          <w:sz w:val="28"/>
          <w:szCs w:val="28"/>
        </w:rPr>
        <w:t>5.</w:t>
      </w:r>
      <w:r>
        <w:rPr>
          <w:rFonts w:ascii="宋体" w:hAnsi="宋体"/>
          <w:b/>
          <w:spacing w:val="4"/>
          <w:sz w:val="28"/>
          <w:szCs w:val="28"/>
        </w:rPr>
        <w:t>1</w:t>
      </w:r>
      <w:r>
        <w:rPr>
          <w:rFonts w:hint="eastAsia" w:ascii="宋体" w:hAnsi="宋体"/>
          <w:b/>
          <w:spacing w:val="4"/>
          <w:sz w:val="28"/>
          <w:szCs w:val="28"/>
        </w:rPr>
        <w:t>.</w:t>
      </w:r>
      <w:r>
        <w:rPr>
          <w:rFonts w:ascii="宋体" w:hAnsi="宋体"/>
          <w:b/>
          <w:spacing w:val="4"/>
          <w:sz w:val="28"/>
          <w:szCs w:val="28"/>
        </w:rPr>
        <w:t>3</w:t>
      </w:r>
      <w:r>
        <w:rPr>
          <w:rFonts w:hint="eastAsia"/>
          <w:b/>
          <w:bCs/>
          <w:sz w:val="28"/>
          <w:szCs w:val="28"/>
        </w:rPr>
        <w:t>细集料</w:t>
      </w:r>
    </w:p>
    <w:p>
      <w:pPr>
        <w:spacing w:line="360" w:lineRule="auto"/>
        <w:ind w:firstLine="480" w:firstLineChars="200"/>
        <w:rPr>
          <w:sz w:val="24"/>
        </w:rPr>
      </w:pPr>
      <w:r>
        <w:rPr>
          <w:rFonts w:hint="eastAsia"/>
          <w:sz w:val="24"/>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pPr>
        <w:adjustRightInd w:val="0"/>
        <w:spacing w:line="160" w:lineRule="exact"/>
        <w:ind w:right="-126" w:rightChars="-60" w:firstLine="496" w:firstLineChars="200"/>
        <w:jc w:val="left"/>
        <w:rPr>
          <w:rFonts w:ascii="宋体" w:hAnsi="宋体"/>
          <w:spacing w:val="4"/>
          <w:sz w:val="24"/>
        </w:rPr>
      </w:pPr>
    </w:p>
    <w:tbl>
      <w:tblPr>
        <w:tblStyle w:val="6"/>
        <w:tblW w:w="9149" w:type="dxa"/>
        <w:jc w:val="center"/>
        <w:tblInd w:w="0" w:type="dxa"/>
        <w:tblLayout w:type="fixed"/>
        <w:tblCellMar>
          <w:top w:w="0" w:type="dxa"/>
          <w:left w:w="108" w:type="dxa"/>
          <w:bottom w:w="0" w:type="dxa"/>
          <w:right w:w="108" w:type="dxa"/>
        </w:tblCellMar>
      </w:tblPr>
      <w:tblGrid>
        <w:gridCol w:w="4103"/>
        <w:gridCol w:w="1148"/>
        <w:gridCol w:w="1149"/>
        <w:gridCol w:w="1149"/>
        <w:gridCol w:w="1600"/>
      </w:tblGrid>
      <w:tr>
        <w:tblPrEx>
          <w:tblLayout w:type="fixed"/>
          <w:tblCellMar>
            <w:top w:w="0" w:type="dxa"/>
            <w:left w:w="108" w:type="dxa"/>
            <w:bottom w:w="0" w:type="dxa"/>
            <w:right w:w="108" w:type="dxa"/>
          </w:tblCellMar>
        </w:tblPrEx>
        <w:trPr>
          <w:trHeight w:val="510" w:hRule="exact"/>
          <w:jc w:val="center"/>
        </w:trPr>
        <w:tc>
          <w:tcPr>
            <w:tcW w:w="9149" w:type="dxa"/>
            <w:gridSpan w:val="5"/>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天然砂的质量标准</w:t>
            </w:r>
          </w:p>
        </w:tc>
      </w:tr>
      <w:tr>
        <w:tblPrEx>
          <w:tblLayout w:type="fixed"/>
          <w:tblCellMar>
            <w:top w:w="0" w:type="dxa"/>
            <w:left w:w="108" w:type="dxa"/>
            <w:bottom w:w="0" w:type="dxa"/>
            <w:right w:w="108" w:type="dxa"/>
          </w:tblCellMar>
        </w:tblPrEx>
        <w:trPr>
          <w:trHeight w:val="397" w:hRule="atLeast"/>
          <w:jc w:val="center"/>
        </w:trPr>
        <w:tc>
          <w:tcPr>
            <w:tcW w:w="4103"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指标</w:t>
            </w:r>
          </w:p>
        </w:tc>
        <w:tc>
          <w:tcPr>
            <w:tcW w:w="3446"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技术要求</w:t>
            </w:r>
          </w:p>
        </w:tc>
        <w:tc>
          <w:tcPr>
            <w:tcW w:w="1600"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试验方法</w:t>
            </w:r>
          </w:p>
        </w:tc>
      </w:tr>
      <w:tr>
        <w:tblPrEx>
          <w:tblLayout w:type="fixed"/>
          <w:tblCellMar>
            <w:top w:w="0" w:type="dxa"/>
            <w:left w:w="108" w:type="dxa"/>
            <w:bottom w:w="0" w:type="dxa"/>
            <w:right w:w="108" w:type="dxa"/>
          </w:tblCellMar>
        </w:tblPrEx>
        <w:trPr>
          <w:trHeight w:val="397" w:hRule="atLeast"/>
          <w:jc w:val="center"/>
        </w:trPr>
        <w:tc>
          <w:tcPr>
            <w:tcW w:w="4103"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Ⅰ级</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Ⅱ级</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Ⅲ级</w:t>
            </w:r>
          </w:p>
        </w:tc>
        <w:tc>
          <w:tcPr>
            <w:tcW w:w="160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坚固性(按质量损失计)(%)≤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6</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T0340</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含泥量(按质量计)(%)≤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T0333</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泥块含量(按质量计)(%)≤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T0335</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氯离子含量(按质量计)(%)≤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0.02</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0.03</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0.06</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GB/T 14684</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云母含量(按质量计)(%)≤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T0337</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硫化物及硫酸盐含量(按SO</w:t>
            </w:r>
            <w:r>
              <w:rPr>
                <w:rFonts w:hint="eastAsia" w:ascii="宋体" w:hAnsi="宋体" w:cs="宋体"/>
                <w:kern w:val="0"/>
                <w:szCs w:val="21"/>
                <w:vertAlign w:val="subscript"/>
              </w:rPr>
              <w:t>3</w:t>
            </w:r>
            <w:r>
              <w:rPr>
                <w:rFonts w:hint="eastAsia" w:ascii="宋体" w:hAnsi="宋体" w:cs="宋体"/>
                <w:kern w:val="0"/>
                <w:szCs w:val="21"/>
              </w:rPr>
              <w:t>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T0341</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海砂中的贝壳类物质含量(按质量计)(%)≤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JGJ 206</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轻物质含量(按质量计)(%)≤</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T0338</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吸水率(按质量计)(%)≤</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T0330</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表观密度(kg/m</w:t>
            </w:r>
            <w:r>
              <w:rPr>
                <w:rFonts w:hint="eastAsia" w:ascii="宋体" w:hAnsi="宋体" w:cs="宋体"/>
                <w:kern w:val="0"/>
                <w:szCs w:val="21"/>
                <w:vertAlign w:val="superscript"/>
              </w:rPr>
              <w:t>3</w:t>
            </w:r>
            <w:r>
              <w:rPr>
                <w:rFonts w:hint="eastAsia" w:ascii="宋体" w:hAnsi="宋体" w:cs="宋体"/>
                <w:kern w:val="0"/>
                <w:szCs w:val="21"/>
              </w:rPr>
              <w:t>)≥</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2500</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T0328</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松散堆积密度(kg/m</w:t>
            </w:r>
            <w:r>
              <w:rPr>
                <w:rFonts w:hint="eastAsia" w:ascii="宋体" w:hAnsi="宋体" w:cs="宋体"/>
                <w:kern w:val="0"/>
                <w:szCs w:val="21"/>
                <w:vertAlign w:val="superscript"/>
              </w:rPr>
              <w:t>3</w:t>
            </w:r>
            <w:r>
              <w:rPr>
                <w:rFonts w:hint="eastAsia" w:ascii="宋体" w:hAnsi="宋体" w:cs="宋体"/>
                <w:kern w:val="0"/>
                <w:szCs w:val="21"/>
              </w:rPr>
              <w:t>)≥</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1400</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T0331</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空隙率(%)≤</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45</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T0331</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有机物含量(比色法)</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合格</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T0336</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碱活性反应</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不得有碱活性反应或疑似碱活性反应</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T0325</w:t>
            </w:r>
          </w:p>
        </w:tc>
      </w:tr>
      <w:tr>
        <w:tblPrEx>
          <w:tblLayout w:type="fixed"/>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结晶态二氧化硅含量(%)≥</w:t>
            </w:r>
          </w:p>
        </w:tc>
        <w:tc>
          <w:tcPr>
            <w:tcW w:w="3446"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w:t>
            </w:r>
          </w:p>
        </w:tc>
        <w:tc>
          <w:tcPr>
            <w:tcW w:w="1600" w:type="dxa"/>
            <w:tcBorders>
              <w:top w:val="single" w:color="auto" w:sz="6" w:space="0"/>
              <w:left w:val="single" w:color="auto" w:sz="6" w:space="0"/>
              <w:bottom w:val="single" w:color="auto" w:sz="12"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T0324</w:t>
            </w:r>
          </w:p>
        </w:tc>
      </w:tr>
    </w:tbl>
    <w:p>
      <w:pPr>
        <w:spacing w:line="360" w:lineRule="auto"/>
        <w:ind w:firstLine="600" w:firstLineChars="250"/>
        <w:rPr>
          <w:sz w:val="24"/>
        </w:rPr>
      </w:pPr>
      <w:r>
        <w:rPr>
          <w:rFonts w:hint="eastAsia"/>
          <w:sz w:val="24"/>
        </w:rPr>
        <w:t>天然砂的级配范围宜符合下表规定。面层水泥混凝土使用的天然砂细度模数宜在2.0～3.7之间。</w:t>
      </w:r>
    </w:p>
    <w:tbl>
      <w:tblPr>
        <w:tblStyle w:val="6"/>
        <w:tblW w:w="9840" w:type="dxa"/>
        <w:jc w:val="center"/>
        <w:tblInd w:w="0" w:type="dxa"/>
        <w:tblLayout w:type="fixed"/>
        <w:tblCellMar>
          <w:top w:w="0" w:type="dxa"/>
          <w:left w:w="108" w:type="dxa"/>
          <w:bottom w:w="0" w:type="dxa"/>
          <w:right w:w="108" w:type="dxa"/>
        </w:tblCellMar>
      </w:tblPr>
      <w:tblGrid>
        <w:gridCol w:w="768"/>
        <w:gridCol w:w="1134"/>
        <w:gridCol w:w="567"/>
        <w:gridCol w:w="992"/>
        <w:gridCol w:w="992"/>
        <w:gridCol w:w="993"/>
        <w:gridCol w:w="921"/>
        <w:gridCol w:w="921"/>
        <w:gridCol w:w="796"/>
        <w:gridCol w:w="796"/>
        <w:gridCol w:w="960"/>
      </w:tblGrid>
      <w:tr>
        <w:tblPrEx>
          <w:tblLayout w:type="fixed"/>
          <w:tblCellMar>
            <w:top w:w="0" w:type="dxa"/>
            <w:left w:w="108" w:type="dxa"/>
            <w:bottom w:w="0" w:type="dxa"/>
            <w:right w:w="108" w:type="dxa"/>
          </w:tblCellMar>
        </w:tblPrEx>
        <w:trPr>
          <w:trHeight w:val="510" w:hRule="exact"/>
          <w:jc w:val="center"/>
        </w:trPr>
        <w:tc>
          <w:tcPr>
            <w:tcW w:w="9840" w:type="dxa"/>
            <w:gridSpan w:val="11"/>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天然砂级配范围</w:t>
            </w:r>
          </w:p>
        </w:tc>
      </w:tr>
      <w:tr>
        <w:tblPrEx>
          <w:tblLayout w:type="fixed"/>
          <w:tblCellMar>
            <w:top w:w="0" w:type="dxa"/>
            <w:left w:w="108" w:type="dxa"/>
            <w:bottom w:w="0" w:type="dxa"/>
            <w:right w:w="108" w:type="dxa"/>
          </w:tblCellMar>
        </w:tblPrEx>
        <w:trPr>
          <w:trHeight w:val="397" w:hRule="atLeast"/>
          <w:jc w:val="center"/>
        </w:trPr>
        <w:tc>
          <w:tcPr>
            <w:tcW w:w="190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方孔筛尺寸(mm)</w:t>
            </w:r>
          </w:p>
        </w:tc>
        <w:tc>
          <w:tcPr>
            <w:tcW w:w="567"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2.36</w:t>
            </w:r>
          </w:p>
        </w:tc>
        <w:tc>
          <w:tcPr>
            <w:tcW w:w="993"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1.18</w:t>
            </w:r>
          </w:p>
        </w:tc>
        <w:tc>
          <w:tcPr>
            <w:tcW w:w="921"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0.6</w:t>
            </w:r>
          </w:p>
        </w:tc>
        <w:tc>
          <w:tcPr>
            <w:tcW w:w="921"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0.3</w:t>
            </w:r>
          </w:p>
        </w:tc>
        <w:tc>
          <w:tcPr>
            <w:tcW w:w="796"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0.15</w:t>
            </w:r>
          </w:p>
        </w:tc>
        <w:tc>
          <w:tcPr>
            <w:tcW w:w="796"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0.075</w:t>
            </w:r>
          </w:p>
        </w:tc>
        <w:tc>
          <w:tcPr>
            <w:tcW w:w="960"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试  验</w:t>
            </w:r>
          </w:p>
          <w:p>
            <w:pPr>
              <w:widowControl/>
              <w:jc w:val="center"/>
              <w:rPr>
                <w:rFonts w:ascii="宋体" w:hAnsi="宋体" w:cs="宋体"/>
                <w:kern w:val="0"/>
                <w:szCs w:val="21"/>
              </w:rPr>
            </w:pPr>
            <w:r>
              <w:rPr>
                <w:rFonts w:hint="eastAsia" w:ascii="宋体" w:hAnsi="宋体" w:cs="宋体"/>
                <w:kern w:val="0"/>
                <w:szCs w:val="21"/>
              </w:rPr>
              <w:t>方  法</w:t>
            </w:r>
          </w:p>
        </w:tc>
      </w:tr>
      <w:tr>
        <w:tblPrEx>
          <w:tblLayout w:type="fixed"/>
          <w:tblCellMar>
            <w:top w:w="0" w:type="dxa"/>
            <w:left w:w="108" w:type="dxa"/>
            <w:bottom w:w="0" w:type="dxa"/>
            <w:right w:w="108" w:type="dxa"/>
          </w:tblCellMar>
        </w:tblPrEx>
        <w:trPr>
          <w:trHeight w:val="397" w:hRule="atLeast"/>
          <w:jc w:val="center"/>
        </w:trPr>
        <w:tc>
          <w:tcPr>
            <w:tcW w:w="190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级配类型</w:t>
            </w:r>
          </w:p>
        </w:tc>
        <w:tc>
          <w:tcPr>
            <w:tcW w:w="6978"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累计筛余(以质量计)(%)</w:t>
            </w:r>
          </w:p>
        </w:tc>
        <w:tc>
          <w:tcPr>
            <w:tcW w:w="960"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768" w:type="dxa"/>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粗砂</w:t>
            </w:r>
          </w:p>
        </w:tc>
        <w:tc>
          <w:tcPr>
            <w:tcW w:w="113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3.1～3.7</w:t>
            </w:r>
          </w:p>
        </w:tc>
        <w:tc>
          <w:tcPr>
            <w:tcW w:w="567"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65～95</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35～65</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15～30</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5～20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0～5</w:t>
            </w:r>
          </w:p>
        </w:tc>
        <w:tc>
          <w:tcPr>
            <w:tcW w:w="960" w:type="dxa"/>
            <w:vMerge w:val="restart"/>
            <w:tcBorders>
              <w:top w:val="single" w:color="auto" w:sz="6" w:space="0"/>
              <w:left w:val="single" w:color="auto" w:sz="6" w:space="0"/>
              <w:right w:val="single" w:color="auto" w:sz="12"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JTG E42 T0327</w:t>
            </w:r>
          </w:p>
        </w:tc>
      </w:tr>
      <w:tr>
        <w:tblPrEx>
          <w:tblLayout w:type="fixed"/>
          <w:tblCellMar>
            <w:top w:w="0" w:type="dxa"/>
            <w:left w:w="108" w:type="dxa"/>
            <w:bottom w:w="0" w:type="dxa"/>
            <w:right w:w="108" w:type="dxa"/>
          </w:tblCellMar>
        </w:tblPrEx>
        <w:trPr>
          <w:trHeight w:val="397" w:hRule="atLeast"/>
          <w:jc w:val="center"/>
        </w:trPr>
        <w:tc>
          <w:tcPr>
            <w:tcW w:w="768" w:type="dxa"/>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中砂</w:t>
            </w:r>
          </w:p>
        </w:tc>
        <w:tc>
          <w:tcPr>
            <w:tcW w:w="113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2.3～3.0</w:t>
            </w:r>
          </w:p>
        </w:tc>
        <w:tc>
          <w:tcPr>
            <w:tcW w:w="567"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75～100</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50～90</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30～60</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8～30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0～5</w:t>
            </w:r>
          </w:p>
        </w:tc>
        <w:tc>
          <w:tcPr>
            <w:tcW w:w="960" w:type="dxa"/>
            <w:vMerge w:val="continue"/>
            <w:tcBorders>
              <w:left w:val="single" w:color="auto" w:sz="6" w:space="0"/>
              <w:right w:val="single" w:color="auto" w:sz="12" w:space="0"/>
            </w:tcBorders>
            <w:vAlign w:val="center"/>
          </w:tcPr>
          <w:p>
            <w:pPr>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768" w:type="dxa"/>
            <w:tcBorders>
              <w:top w:val="single" w:color="auto" w:sz="6" w:space="0"/>
              <w:left w:val="single" w:color="auto" w:sz="12"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细砂</w:t>
            </w:r>
          </w:p>
        </w:tc>
        <w:tc>
          <w:tcPr>
            <w:tcW w:w="113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1.6～2.2</w:t>
            </w:r>
          </w:p>
        </w:tc>
        <w:tc>
          <w:tcPr>
            <w:tcW w:w="567"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85～100</w:t>
            </w:r>
          </w:p>
        </w:tc>
        <w:tc>
          <w:tcPr>
            <w:tcW w:w="993"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75～100</w:t>
            </w:r>
          </w:p>
        </w:tc>
        <w:tc>
          <w:tcPr>
            <w:tcW w:w="921"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60～84</w:t>
            </w:r>
          </w:p>
        </w:tc>
        <w:tc>
          <w:tcPr>
            <w:tcW w:w="921"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15～45</w:t>
            </w:r>
          </w:p>
        </w:tc>
        <w:tc>
          <w:tcPr>
            <w:tcW w:w="796"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796"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0～5</w:t>
            </w:r>
          </w:p>
        </w:tc>
        <w:tc>
          <w:tcPr>
            <w:tcW w:w="960" w:type="dxa"/>
            <w:vMerge w:val="continue"/>
            <w:tcBorders>
              <w:left w:val="single" w:color="auto" w:sz="6" w:space="0"/>
              <w:bottom w:val="single" w:color="auto" w:sz="12" w:space="0"/>
              <w:right w:val="single" w:color="auto" w:sz="12" w:space="0"/>
            </w:tcBorders>
            <w:vAlign w:val="center"/>
          </w:tcPr>
          <w:p>
            <w:pPr>
              <w:jc w:val="center"/>
              <w:rPr>
                <w:rFonts w:ascii="宋体" w:hAnsi="宋体" w:cs="宋体"/>
                <w:kern w:val="0"/>
                <w:szCs w:val="21"/>
              </w:rPr>
            </w:pPr>
          </w:p>
        </w:tc>
      </w:tr>
    </w:tbl>
    <w:p>
      <w:pPr>
        <w:spacing w:line="200" w:lineRule="exact"/>
        <w:ind w:firstLine="420" w:firstLineChars="200"/>
        <w:rPr>
          <w:szCs w:val="21"/>
        </w:rPr>
      </w:pPr>
    </w:p>
    <w:p>
      <w:pPr>
        <w:spacing w:line="360" w:lineRule="auto"/>
        <w:ind w:firstLine="480" w:firstLineChars="200"/>
        <w:rPr>
          <w:sz w:val="24"/>
        </w:rPr>
      </w:pPr>
      <w:r>
        <w:rPr>
          <w:rFonts w:hint="eastAsia"/>
          <w:sz w:val="24"/>
        </w:rPr>
        <w:t>机制砂宜采用碎石作为原料，并用专用设备生产。极重、特重、重交通荷载等级公路面层水泥混凝土用机制砂的质量标准不应低于下表规定的Ⅱ级，中、轻交通荷载等级公路面层水泥混凝土可使用Ⅲ级机制砂。</w:t>
      </w:r>
    </w:p>
    <w:tbl>
      <w:tblPr>
        <w:tblStyle w:val="6"/>
        <w:tblW w:w="9667" w:type="dxa"/>
        <w:jc w:val="center"/>
        <w:tblInd w:w="0" w:type="dxa"/>
        <w:tblLayout w:type="fixed"/>
        <w:tblCellMar>
          <w:top w:w="0" w:type="dxa"/>
          <w:left w:w="108" w:type="dxa"/>
          <w:bottom w:w="0" w:type="dxa"/>
          <w:right w:w="108" w:type="dxa"/>
        </w:tblCellMar>
      </w:tblPr>
      <w:tblGrid>
        <w:gridCol w:w="1571"/>
        <w:gridCol w:w="2835"/>
        <w:gridCol w:w="1216"/>
        <w:gridCol w:w="1216"/>
        <w:gridCol w:w="1217"/>
        <w:gridCol w:w="1612"/>
      </w:tblGrid>
      <w:tr>
        <w:tblPrEx>
          <w:tblLayout w:type="fixed"/>
          <w:tblCellMar>
            <w:top w:w="0" w:type="dxa"/>
            <w:left w:w="108" w:type="dxa"/>
            <w:bottom w:w="0" w:type="dxa"/>
            <w:right w:w="108" w:type="dxa"/>
          </w:tblCellMar>
        </w:tblPrEx>
        <w:trPr>
          <w:trHeight w:val="510" w:hRule="exact"/>
          <w:jc w:val="center"/>
        </w:trPr>
        <w:tc>
          <w:tcPr>
            <w:tcW w:w="9667" w:type="dxa"/>
            <w:gridSpan w:val="6"/>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机制砂的质量标准</w:t>
            </w:r>
          </w:p>
        </w:tc>
      </w:tr>
      <w:tr>
        <w:tblPrEx>
          <w:tblLayout w:type="fixed"/>
          <w:tblCellMar>
            <w:top w:w="0" w:type="dxa"/>
            <w:left w:w="108" w:type="dxa"/>
            <w:bottom w:w="0" w:type="dxa"/>
            <w:right w:w="108" w:type="dxa"/>
          </w:tblCellMar>
        </w:tblPrEx>
        <w:trPr>
          <w:trHeight w:val="397" w:hRule="atLeast"/>
          <w:jc w:val="center"/>
        </w:trPr>
        <w:tc>
          <w:tcPr>
            <w:tcW w:w="4406"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指标</w:t>
            </w:r>
          </w:p>
        </w:tc>
        <w:tc>
          <w:tcPr>
            <w:tcW w:w="364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技术要求</w:t>
            </w:r>
          </w:p>
        </w:tc>
        <w:tc>
          <w:tcPr>
            <w:tcW w:w="161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试验方法</w:t>
            </w:r>
          </w:p>
        </w:tc>
      </w:tr>
      <w:tr>
        <w:tblPrEx>
          <w:tblLayout w:type="fixed"/>
          <w:tblCellMar>
            <w:top w:w="0" w:type="dxa"/>
            <w:left w:w="108" w:type="dxa"/>
            <w:bottom w:w="0" w:type="dxa"/>
            <w:right w:w="108" w:type="dxa"/>
          </w:tblCellMar>
        </w:tblPrEx>
        <w:trPr>
          <w:trHeight w:val="397" w:hRule="atLeast"/>
          <w:jc w:val="center"/>
        </w:trPr>
        <w:tc>
          <w:tcPr>
            <w:tcW w:w="4406"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Ⅰ级</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Ⅱ级</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Ⅲ级</w:t>
            </w:r>
          </w:p>
        </w:tc>
        <w:tc>
          <w:tcPr>
            <w:tcW w:w="1612"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机制砂母岩的抗压强度(MPa)≥</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80</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60</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E41 T0221</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机制砂母岩的磨光值≥</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38</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T0321</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机制砂单粒级最大压碎指标(%)≤</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20</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T0350</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坚固性(按质量损失计)(%)≤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6</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T0340</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氯离子含量(按质量计)(%)≤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0.01</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0.02</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0.06</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GB/T 14684</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云母含量(按质量计)(%)≤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T0337</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硫化物及硫酸盐含量(按SO</w:t>
            </w:r>
            <w:r>
              <w:rPr>
                <w:rFonts w:hint="eastAsia" w:ascii="宋体" w:hAnsi="宋体" w:cs="宋体"/>
                <w:kern w:val="0"/>
                <w:szCs w:val="21"/>
                <w:vertAlign w:val="subscript"/>
              </w:rPr>
              <w:t>3</w:t>
            </w:r>
            <w:r>
              <w:rPr>
                <w:rFonts w:hint="eastAsia" w:ascii="宋体" w:hAnsi="宋体" w:cs="宋体"/>
                <w:kern w:val="0"/>
                <w:szCs w:val="21"/>
              </w:rPr>
              <w:t>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T0341</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泥块含量(按质量计)(%)≤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0.5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T0335</w:t>
            </w:r>
          </w:p>
        </w:tc>
      </w:tr>
      <w:tr>
        <w:tblPrEx>
          <w:tblLayout w:type="fixed"/>
          <w:tblCellMar>
            <w:top w:w="0" w:type="dxa"/>
            <w:left w:w="108" w:type="dxa"/>
            <w:bottom w:w="0" w:type="dxa"/>
            <w:right w:w="108" w:type="dxa"/>
          </w:tblCellMar>
        </w:tblPrEx>
        <w:trPr>
          <w:trHeight w:val="397" w:hRule="atLeast"/>
          <w:jc w:val="center"/>
        </w:trPr>
        <w:tc>
          <w:tcPr>
            <w:tcW w:w="1571"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石粉含量(%)＜</w:t>
            </w:r>
          </w:p>
        </w:tc>
        <w:tc>
          <w:tcPr>
            <w:tcW w:w="28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MB值＜1.40或合格</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7</w:t>
            </w:r>
          </w:p>
        </w:tc>
        <w:tc>
          <w:tcPr>
            <w:tcW w:w="161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T0349</w:t>
            </w:r>
          </w:p>
        </w:tc>
      </w:tr>
      <w:tr>
        <w:tblPrEx>
          <w:tblLayout w:type="fixed"/>
          <w:tblCellMar>
            <w:top w:w="0" w:type="dxa"/>
            <w:left w:w="108" w:type="dxa"/>
            <w:bottom w:w="0" w:type="dxa"/>
            <w:right w:w="108" w:type="dxa"/>
          </w:tblCellMar>
        </w:tblPrEx>
        <w:trPr>
          <w:trHeight w:val="397" w:hRule="atLeast"/>
          <w:jc w:val="center"/>
        </w:trPr>
        <w:tc>
          <w:tcPr>
            <w:tcW w:w="1571"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21"/>
              </w:rPr>
            </w:pPr>
          </w:p>
        </w:tc>
        <w:tc>
          <w:tcPr>
            <w:tcW w:w="28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MB值≥1.40或不合格</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1612"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轻物质含量(按质量计)(%)≤</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T0338</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吸水率(按质量计)(%)≤</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T0330</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表观密度(kg/m</w:t>
            </w:r>
            <w:r>
              <w:rPr>
                <w:rFonts w:hint="eastAsia" w:ascii="宋体" w:hAnsi="宋体" w:cs="宋体"/>
                <w:kern w:val="0"/>
                <w:szCs w:val="21"/>
                <w:vertAlign w:val="superscript"/>
              </w:rPr>
              <w:t>3</w:t>
            </w:r>
            <w:r>
              <w:rPr>
                <w:rFonts w:hint="eastAsia" w:ascii="宋体" w:hAnsi="宋体" w:cs="宋体"/>
                <w:kern w:val="0"/>
                <w:szCs w:val="21"/>
              </w:rPr>
              <w:t>)≥</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2500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T0328</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松散堆积密度(kg/m</w:t>
            </w:r>
            <w:r>
              <w:rPr>
                <w:rFonts w:hint="eastAsia" w:ascii="宋体" w:hAnsi="宋体" w:cs="宋体"/>
                <w:kern w:val="0"/>
                <w:szCs w:val="21"/>
                <w:vertAlign w:val="superscript"/>
              </w:rPr>
              <w:t>3</w:t>
            </w:r>
            <w:r>
              <w:rPr>
                <w:rFonts w:hint="eastAsia" w:ascii="宋体" w:hAnsi="宋体" w:cs="宋体"/>
                <w:kern w:val="0"/>
                <w:szCs w:val="21"/>
              </w:rPr>
              <w:t>)≥</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1400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T0331</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空隙率(%)≤</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45</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T0331</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有机物含量(比色法)</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合格</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T0336</w:t>
            </w:r>
          </w:p>
        </w:tc>
      </w:tr>
      <w:tr>
        <w:tblPrEx>
          <w:tblLayout w:type="fixed"/>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碱活性反应</w:t>
            </w:r>
          </w:p>
        </w:tc>
        <w:tc>
          <w:tcPr>
            <w:tcW w:w="364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不得有碱活性反应或疑似碱活性反应</w:t>
            </w:r>
          </w:p>
        </w:tc>
        <w:tc>
          <w:tcPr>
            <w:tcW w:w="1612" w:type="dxa"/>
            <w:tcBorders>
              <w:top w:val="single" w:color="auto" w:sz="6" w:space="0"/>
              <w:left w:val="single" w:color="auto" w:sz="6" w:space="0"/>
              <w:bottom w:val="single" w:color="auto" w:sz="12"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JTG E42 T0325</w:t>
            </w:r>
          </w:p>
        </w:tc>
      </w:tr>
    </w:tbl>
    <w:p>
      <w:pPr>
        <w:spacing w:line="180" w:lineRule="exact"/>
        <w:ind w:firstLine="480" w:firstLineChars="200"/>
        <w:rPr>
          <w:sz w:val="24"/>
        </w:rPr>
      </w:pPr>
    </w:p>
    <w:p>
      <w:pPr>
        <w:spacing w:line="360" w:lineRule="auto"/>
        <w:ind w:firstLine="480" w:firstLineChars="200"/>
        <w:rPr>
          <w:sz w:val="24"/>
        </w:rPr>
      </w:pPr>
      <w:r>
        <w:rPr>
          <w:rFonts w:hint="eastAsia"/>
          <w:sz w:val="24"/>
        </w:rPr>
        <w:t>机制砂的级配范围宜符合下表的规定。面层水泥混凝土使用的机制砂细度模数宜在2.3～3.1之间。</w:t>
      </w:r>
    </w:p>
    <w:tbl>
      <w:tblPr>
        <w:tblStyle w:val="6"/>
        <w:tblW w:w="9664" w:type="dxa"/>
        <w:jc w:val="center"/>
        <w:tblInd w:w="0" w:type="dxa"/>
        <w:tblLayout w:type="fixed"/>
        <w:tblCellMar>
          <w:top w:w="0" w:type="dxa"/>
          <w:left w:w="108" w:type="dxa"/>
          <w:bottom w:w="0" w:type="dxa"/>
          <w:right w:w="108" w:type="dxa"/>
        </w:tblCellMar>
      </w:tblPr>
      <w:tblGrid>
        <w:gridCol w:w="1276"/>
        <w:gridCol w:w="1134"/>
        <w:gridCol w:w="657"/>
        <w:gridCol w:w="1048"/>
        <w:gridCol w:w="992"/>
        <w:gridCol w:w="851"/>
        <w:gridCol w:w="899"/>
        <w:gridCol w:w="992"/>
        <w:gridCol w:w="756"/>
        <w:gridCol w:w="1059"/>
      </w:tblGrid>
      <w:tr>
        <w:tblPrEx>
          <w:tblLayout w:type="fixed"/>
          <w:tblCellMar>
            <w:top w:w="0" w:type="dxa"/>
            <w:left w:w="108" w:type="dxa"/>
            <w:bottom w:w="0" w:type="dxa"/>
            <w:right w:w="108" w:type="dxa"/>
          </w:tblCellMar>
        </w:tblPrEx>
        <w:trPr>
          <w:trHeight w:val="510" w:hRule="exact"/>
          <w:jc w:val="center"/>
        </w:trPr>
        <w:tc>
          <w:tcPr>
            <w:tcW w:w="9664" w:type="dxa"/>
            <w:gridSpan w:val="10"/>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机制砂级配范围</w:t>
            </w:r>
          </w:p>
        </w:tc>
      </w:tr>
      <w:tr>
        <w:tblPrEx>
          <w:tblLayout w:type="fixed"/>
          <w:tblCellMar>
            <w:top w:w="0" w:type="dxa"/>
            <w:left w:w="108" w:type="dxa"/>
            <w:bottom w:w="0" w:type="dxa"/>
            <w:right w:w="108" w:type="dxa"/>
          </w:tblCellMar>
        </w:tblPrEx>
        <w:trPr>
          <w:trHeight w:val="397" w:hRule="atLeast"/>
          <w:jc w:val="center"/>
        </w:trPr>
        <w:tc>
          <w:tcPr>
            <w:tcW w:w="2410"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方孔筛尺寸(mm)</w:t>
            </w:r>
          </w:p>
        </w:tc>
        <w:tc>
          <w:tcPr>
            <w:tcW w:w="657"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9.5</w:t>
            </w:r>
          </w:p>
        </w:tc>
        <w:tc>
          <w:tcPr>
            <w:tcW w:w="1048"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4.75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2.36</w:t>
            </w:r>
          </w:p>
        </w:tc>
        <w:tc>
          <w:tcPr>
            <w:tcW w:w="851"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1.18</w:t>
            </w:r>
          </w:p>
        </w:tc>
        <w:tc>
          <w:tcPr>
            <w:tcW w:w="899"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0.6</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0.3</w:t>
            </w:r>
          </w:p>
        </w:tc>
        <w:tc>
          <w:tcPr>
            <w:tcW w:w="756"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0.15</w:t>
            </w:r>
          </w:p>
        </w:tc>
        <w:tc>
          <w:tcPr>
            <w:tcW w:w="1059"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试  验</w:t>
            </w:r>
          </w:p>
          <w:p>
            <w:pPr>
              <w:widowControl/>
              <w:jc w:val="center"/>
              <w:rPr>
                <w:rFonts w:ascii="宋体" w:hAnsi="宋体" w:cs="宋体"/>
                <w:kern w:val="0"/>
                <w:szCs w:val="21"/>
              </w:rPr>
            </w:pPr>
            <w:r>
              <w:rPr>
                <w:rFonts w:hint="eastAsia" w:ascii="宋体" w:hAnsi="宋体" w:cs="宋体"/>
                <w:kern w:val="0"/>
                <w:szCs w:val="21"/>
              </w:rPr>
              <w:t>方  法</w:t>
            </w:r>
          </w:p>
        </w:tc>
      </w:tr>
      <w:tr>
        <w:tblPrEx>
          <w:tblLayout w:type="fixed"/>
          <w:tblCellMar>
            <w:top w:w="0" w:type="dxa"/>
            <w:left w:w="108" w:type="dxa"/>
            <w:bottom w:w="0" w:type="dxa"/>
            <w:right w:w="108" w:type="dxa"/>
          </w:tblCellMar>
        </w:tblPrEx>
        <w:trPr>
          <w:trHeight w:val="397" w:hRule="atLeast"/>
          <w:jc w:val="center"/>
        </w:trPr>
        <w:tc>
          <w:tcPr>
            <w:tcW w:w="2410"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级配类型</w:t>
            </w:r>
          </w:p>
        </w:tc>
        <w:tc>
          <w:tcPr>
            <w:tcW w:w="6195"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累计筛余(以质量计)(%)</w:t>
            </w:r>
          </w:p>
        </w:tc>
        <w:tc>
          <w:tcPr>
            <w:tcW w:w="1059"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1276" w:type="dxa"/>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Ⅰ级砂</w:t>
            </w:r>
          </w:p>
        </w:tc>
        <w:tc>
          <w:tcPr>
            <w:tcW w:w="1134"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2.3～3.1</w:t>
            </w:r>
          </w:p>
        </w:tc>
        <w:tc>
          <w:tcPr>
            <w:tcW w:w="657"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100</w:t>
            </w:r>
          </w:p>
        </w:tc>
        <w:tc>
          <w:tcPr>
            <w:tcW w:w="1048"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80～95</w:t>
            </w:r>
          </w:p>
        </w:tc>
        <w:tc>
          <w:tcPr>
            <w:tcW w:w="851"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50～85</w:t>
            </w:r>
          </w:p>
        </w:tc>
        <w:tc>
          <w:tcPr>
            <w:tcW w:w="899"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30～60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10～20</w:t>
            </w:r>
          </w:p>
        </w:tc>
        <w:tc>
          <w:tcPr>
            <w:tcW w:w="756"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1059"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JTG E42 T0327</w:t>
            </w:r>
          </w:p>
        </w:tc>
      </w:tr>
      <w:tr>
        <w:tblPrEx>
          <w:tblLayout w:type="fixed"/>
          <w:tblCellMar>
            <w:top w:w="0" w:type="dxa"/>
            <w:left w:w="108" w:type="dxa"/>
            <w:bottom w:w="0" w:type="dxa"/>
            <w:right w:w="108" w:type="dxa"/>
          </w:tblCellMar>
        </w:tblPrEx>
        <w:trPr>
          <w:trHeight w:val="397" w:hRule="atLeast"/>
          <w:jc w:val="center"/>
        </w:trPr>
        <w:tc>
          <w:tcPr>
            <w:tcW w:w="1276" w:type="dxa"/>
            <w:tcBorders>
              <w:top w:val="single" w:color="auto" w:sz="6" w:space="0"/>
              <w:left w:val="single" w:color="auto" w:sz="12"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Ⅱ、Ⅲ级砂</w:t>
            </w:r>
          </w:p>
        </w:tc>
        <w:tc>
          <w:tcPr>
            <w:tcW w:w="1134"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2.8～3.9</w:t>
            </w:r>
          </w:p>
        </w:tc>
        <w:tc>
          <w:tcPr>
            <w:tcW w:w="657"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100</w:t>
            </w:r>
          </w:p>
        </w:tc>
        <w:tc>
          <w:tcPr>
            <w:tcW w:w="1048"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90～100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50～95</w:t>
            </w:r>
          </w:p>
        </w:tc>
        <w:tc>
          <w:tcPr>
            <w:tcW w:w="851"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30～65</w:t>
            </w:r>
          </w:p>
        </w:tc>
        <w:tc>
          <w:tcPr>
            <w:tcW w:w="899"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15～29</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5～20</w:t>
            </w:r>
          </w:p>
        </w:tc>
        <w:tc>
          <w:tcPr>
            <w:tcW w:w="756" w:type="dxa"/>
            <w:tcBorders>
              <w:top w:val="single" w:color="auto" w:sz="6" w:space="0"/>
              <w:left w:val="single" w:color="auto" w:sz="6" w:space="0"/>
              <w:bottom w:val="single" w:color="auto" w:sz="12"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0～10</w:t>
            </w:r>
          </w:p>
        </w:tc>
        <w:tc>
          <w:tcPr>
            <w:tcW w:w="1059" w:type="dxa"/>
            <w:vMerge w:val="continue"/>
            <w:tcBorders>
              <w:top w:val="single" w:color="auto" w:sz="6" w:space="0"/>
              <w:left w:val="single" w:color="auto" w:sz="6" w:space="0"/>
              <w:bottom w:val="single" w:color="auto" w:sz="12" w:space="0"/>
              <w:right w:val="single" w:color="auto" w:sz="12" w:space="0"/>
            </w:tcBorders>
            <w:vAlign w:val="center"/>
          </w:tcPr>
          <w:p>
            <w:pPr>
              <w:widowControl/>
              <w:jc w:val="left"/>
              <w:rPr>
                <w:rFonts w:ascii="宋体" w:hAnsi="宋体" w:cs="宋体"/>
                <w:kern w:val="0"/>
                <w:sz w:val="24"/>
              </w:rPr>
            </w:pPr>
          </w:p>
        </w:tc>
      </w:tr>
    </w:tbl>
    <w:p>
      <w:pPr>
        <w:spacing w:line="180" w:lineRule="exact"/>
        <w:ind w:firstLine="480" w:firstLineChars="200"/>
        <w:jc w:val="left"/>
        <w:rPr>
          <w:sz w:val="24"/>
        </w:rPr>
      </w:pPr>
    </w:p>
    <w:p>
      <w:pPr>
        <w:spacing w:line="360" w:lineRule="auto"/>
        <w:ind w:firstLine="480" w:firstLineChars="200"/>
        <w:jc w:val="left"/>
        <w:rPr>
          <w:sz w:val="24"/>
        </w:rPr>
      </w:pPr>
      <w:r>
        <w:rPr>
          <w:rFonts w:hint="eastAsia"/>
          <w:sz w:val="24"/>
        </w:rPr>
        <w:t>细集料的使用尚应符合下列规定：</w:t>
      </w:r>
    </w:p>
    <w:p>
      <w:pPr>
        <w:spacing w:line="360" w:lineRule="auto"/>
        <w:ind w:firstLine="480" w:firstLineChars="200"/>
        <w:jc w:val="left"/>
        <w:rPr>
          <w:sz w:val="24"/>
        </w:rPr>
      </w:pPr>
      <w:r>
        <w:rPr>
          <w:rFonts w:hint="eastAsia"/>
          <w:sz w:val="24"/>
        </w:rPr>
        <w:t>1.配筋混凝土路面及钢钎维混凝土路面中不得使用海砂。</w:t>
      </w:r>
    </w:p>
    <w:p>
      <w:pPr>
        <w:spacing w:line="360" w:lineRule="auto"/>
        <w:ind w:firstLine="480" w:firstLineChars="200"/>
        <w:jc w:val="left"/>
        <w:rPr>
          <w:sz w:val="24"/>
        </w:rPr>
      </w:pPr>
      <w:r>
        <w:rPr>
          <w:rFonts w:hint="eastAsia"/>
          <w:sz w:val="24"/>
        </w:rPr>
        <w:t>2.细度模数差值超过0.3的砂应分别堆放，分别进行配合比设计。</w:t>
      </w:r>
    </w:p>
    <w:p>
      <w:pPr>
        <w:spacing w:line="360" w:lineRule="auto"/>
        <w:ind w:firstLine="480" w:firstLineChars="200"/>
        <w:jc w:val="left"/>
        <w:rPr>
          <w:sz w:val="24"/>
        </w:rPr>
      </w:pPr>
      <w:r>
        <w:rPr>
          <w:rFonts w:hint="eastAsia"/>
          <w:sz w:val="24"/>
        </w:rPr>
        <w:t>3.采用机制砂时，外加剂宜采用引气高效减水剂或聚羧酸高性能减水剂。</w:t>
      </w:r>
    </w:p>
    <w:p>
      <w:pPr>
        <w:adjustRightInd w:val="0"/>
        <w:spacing w:line="360" w:lineRule="auto"/>
        <w:ind w:right="53" w:rightChars="25" w:firstLine="578" w:firstLineChars="200"/>
        <w:rPr>
          <w:rFonts w:ascii="宋体" w:hAnsi="宋体"/>
          <w:b/>
          <w:spacing w:val="4"/>
          <w:sz w:val="28"/>
          <w:szCs w:val="28"/>
        </w:rPr>
      </w:pPr>
      <w:r>
        <w:rPr>
          <w:rFonts w:hint="eastAsia" w:ascii="宋体" w:hAnsi="宋体"/>
          <w:b/>
          <w:spacing w:val="4"/>
          <w:sz w:val="28"/>
          <w:szCs w:val="28"/>
        </w:rPr>
        <w:t>5.</w:t>
      </w:r>
      <w:r>
        <w:rPr>
          <w:rFonts w:ascii="宋体" w:hAnsi="宋体"/>
          <w:b/>
          <w:spacing w:val="4"/>
          <w:sz w:val="28"/>
          <w:szCs w:val="28"/>
        </w:rPr>
        <w:t>1</w:t>
      </w:r>
      <w:r>
        <w:rPr>
          <w:rFonts w:hint="eastAsia" w:ascii="宋体" w:hAnsi="宋体"/>
          <w:b/>
          <w:spacing w:val="4"/>
          <w:sz w:val="28"/>
          <w:szCs w:val="28"/>
        </w:rPr>
        <w:t>.</w:t>
      </w:r>
      <w:r>
        <w:rPr>
          <w:rFonts w:ascii="宋体" w:hAnsi="宋体"/>
          <w:b/>
          <w:spacing w:val="4"/>
          <w:sz w:val="28"/>
          <w:szCs w:val="28"/>
        </w:rPr>
        <w:t>4</w:t>
      </w:r>
      <w:r>
        <w:rPr>
          <w:rFonts w:hint="eastAsia"/>
          <w:b/>
          <w:bCs/>
          <w:sz w:val="28"/>
          <w:szCs w:val="28"/>
        </w:rPr>
        <w:t>水</w:t>
      </w:r>
    </w:p>
    <w:p>
      <w:pPr>
        <w:spacing w:line="360" w:lineRule="auto"/>
        <w:ind w:firstLine="480" w:firstLineChars="200"/>
        <w:rPr>
          <w:sz w:val="24"/>
        </w:rPr>
      </w:pPr>
      <w:r>
        <w:rPr>
          <w:rFonts w:hint="eastAsia"/>
          <w:sz w:val="24"/>
        </w:rPr>
        <w:t>符合现行《生活饮用水卫生标准》(GB 5749</w:t>
      </w:r>
      <w:r>
        <w:rPr>
          <w:sz w:val="24"/>
        </w:rPr>
        <w:t>-2006</w:t>
      </w:r>
      <w:r>
        <w:rPr>
          <w:rFonts w:hint="eastAsia"/>
          <w:sz w:val="24"/>
        </w:rPr>
        <w:t>)的饮用水可直接作为混凝土搅拌与养生用水。</w:t>
      </w:r>
    </w:p>
    <w:p>
      <w:pPr>
        <w:spacing w:line="360" w:lineRule="auto"/>
        <w:ind w:firstLine="480" w:firstLineChars="200"/>
        <w:rPr>
          <w:sz w:val="24"/>
        </w:rPr>
      </w:pPr>
      <w:r>
        <w:rPr>
          <w:rFonts w:hint="eastAsia"/>
          <w:sz w:val="24"/>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9236" w:type="dxa"/>
        <w:jc w:val="center"/>
        <w:tblInd w:w="0" w:type="dxa"/>
        <w:tblLayout w:type="fixed"/>
        <w:tblCellMar>
          <w:top w:w="0" w:type="dxa"/>
          <w:left w:w="108" w:type="dxa"/>
          <w:bottom w:w="0" w:type="dxa"/>
          <w:right w:w="108" w:type="dxa"/>
        </w:tblCellMar>
      </w:tblPr>
      <w:tblGrid>
        <w:gridCol w:w="2590"/>
        <w:gridCol w:w="2188"/>
        <w:gridCol w:w="3260"/>
        <w:gridCol w:w="1198"/>
      </w:tblGrid>
      <w:tr>
        <w:tblPrEx>
          <w:tblLayout w:type="fixed"/>
          <w:tblCellMar>
            <w:top w:w="0" w:type="dxa"/>
            <w:left w:w="108" w:type="dxa"/>
            <w:bottom w:w="0" w:type="dxa"/>
            <w:right w:w="108" w:type="dxa"/>
          </w:tblCellMar>
        </w:tblPrEx>
        <w:trPr>
          <w:trHeight w:val="510" w:hRule="exact"/>
          <w:jc w:val="center"/>
        </w:trPr>
        <w:tc>
          <w:tcPr>
            <w:tcW w:w="9236" w:type="dxa"/>
            <w:gridSpan w:val="4"/>
            <w:tcBorders>
              <w:top w:val="nil"/>
              <w:left w:val="nil"/>
              <w:bottom w:val="single" w:color="auto" w:sz="12" w:space="0"/>
              <w:right w:val="nil"/>
            </w:tcBorders>
            <w:shd w:val="clear" w:color="000000" w:fill="FFFFFF"/>
            <w:noWrap/>
            <w:vAlign w:val="center"/>
          </w:tcPr>
          <w:p>
            <w:pPr>
              <w:widowControl/>
              <w:jc w:val="center"/>
              <w:rPr>
                <w:rFonts w:ascii="宋体" w:hAnsi="宋体" w:cs="宋体"/>
                <w:kern w:val="0"/>
                <w:sz w:val="24"/>
              </w:rPr>
            </w:pPr>
            <w:r>
              <w:rPr>
                <w:rFonts w:hint="eastAsia" w:ascii="宋体" w:hAnsi="宋体" w:cs="宋体"/>
                <w:kern w:val="0"/>
                <w:sz w:val="24"/>
              </w:rPr>
              <w:t>非饮用水质量标准</w:t>
            </w: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12"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2188"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钢筋混凝土及钢纤维混凝土</w:t>
            </w:r>
          </w:p>
        </w:tc>
        <w:tc>
          <w:tcPr>
            <w:tcW w:w="3260" w:type="dxa"/>
            <w:tcBorders>
              <w:top w:val="single" w:color="auto" w:sz="12"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素混凝土</w:t>
            </w:r>
          </w:p>
        </w:tc>
        <w:tc>
          <w:tcPr>
            <w:tcW w:w="1198" w:type="dxa"/>
            <w:tcBorders>
              <w:top w:val="single" w:color="auto" w:sz="12"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试验方法</w:t>
            </w: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pH值≥</w:t>
            </w:r>
          </w:p>
        </w:tc>
        <w:tc>
          <w:tcPr>
            <w:tcW w:w="218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4.5</w:t>
            </w:r>
          </w:p>
        </w:tc>
        <w:tc>
          <w:tcPr>
            <w:tcW w:w="1198"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JGJ 63</w:t>
            </w: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Cl</w:t>
            </w:r>
            <w:r>
              <w:rPr>
                <w:rFonts w:hint="eastAsia" w:ascii="宋体" w:hAnsi="宋体" w:cs="宋体"/>
                <w:kern w:val="0"/>
                <w:szCs w:val="21"/>
                <w:vertAlign w:val="superscript"/>
              </w:rPr>
              <w:t>-</w:t>
            </w:r>
            <w:r>
              <w:rPr>
                <w:rFonts w:hint="eastAsia" w:ascii="宋体" w:hAnsi="宋体" w:cs="宋体"/>
                <w:kern w:val="0"/>
                <w:szCs w:val="21"/>
              </w:rPr>
              <w:t>含量(mg/L)≤</w:t>
            </w:r>
          </w:p>
        </w:tc>
        <w:tc>
          <w:tcPr>
            <w:tcW w:w="218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1000</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3500</w:t>
            </w:r>
          </w:p>
        </w:tc>
        <w:tc>
          <w:tcPr>
            <w:tcW w:w="1198"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SO</w:t>
            </w:r>
            <w:r>
              <w:rPr>
                <w:rFonts w:hint="eastAsia" w:ascii="宋体" w:hAnsi="宋体" w:cs="宋体"/>
                <w:kern w:val="0"/>
                <w:szCs w:val="21"/>
                <w:vertAlign w:val="superscript"/>
              </w:rPr>
              <w:t>2-</w:t>
            </w:r>
            <w:r>
              <w:rPr>
                <w:rFonts w:hint="eastAsia" w:ascii="宋体" w:hAnsi="宋体" w:cs="宋体"/>
                <w:kern w:val="0"/>
                <w:szCs w:val="21"/>
                <w:vertAlign w:val="subscript"/>
              </w:rPr>
              <w:t>4</w:t>
            </w:r>
            <w:r>
              <w:rPr>
                <w:rFonts w:hint="eastAsia" w:ascii="宋体" w:hAnsi="宋体" w:cs="宋体"/>
                <w:kern w:val="0"/>
                <w:szCs w:val="21"/>
              </w:rPr>
              <w:t>含量(mg/L)≤</w:t>
            </w:r>
          </w:p>
        </w:tc>
        <w:tc>
          <w:tcPr>
            <w:tcW w:w="218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2000</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2700</w:t>
            </w:r>
          </w:p>
        </w:tc>
        <w:tc>
          <w:tcPr>
            <w:tcW w:w="1198"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碱含量(mg/L)≤</w:t>
            </w:r>
          </w:p>
        </w:tc>
        <w:tc>
          <w:tcPr>
            <w:tcW w:w="218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1500</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1500</w:t>
            </w:r>
          </w:p>
        </w:tc>
        <w:tc>
          <w:tcPr>
            <w:tcW w:w="1198"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可溶物含量(mg/L)≤</w:t>
            </w:r>
          </w:p>
        </w:tc>
        <w:tc>
          <w:tcPr>
            <w:tcW w:w="218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5000</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10000</w:t>
            </w:r>
          </w:p>
        </w:tc>
        <w:tc>
          <w:tcPr>
            <w:tcW w:w="1198"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不溶物含量(mg/L)≤</w:t>
            </w:r>
          </w:p>
        </w:tc>
        <w:tc>
          <w:tcPr>
            <w:tcW w:w="2188"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2000</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5000</w:t>
            </w:r>
          </w:p>
        </w:tc>
        <w:tc>
          <w:tcPr>
            <w:tcW w:w="1198" w:type="dxa"/>
            <w:vMerge w:val="continue"/>
            <w:tcBorders>
              <w:top w:val="single" w:color="auto" w:sz="6" w:space="0"/>
              <w:left w:val="single" w:color="auto" w:sz="6" w:space="0"/>
              <w:bottom w:val="single" w:color="auto" w:sz="6" w:space="0"/>
              <w:right w:val="single" w:color="auto" w:sz="12"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97" w:hRule="atLeast"/>
          <w:jc w:val="center"/>
        </w:trPr>
        <w:tc>
          <w:tcPr>
            <w:tcW w:w="2590" w:type="dxa"/>
            <w:tcBorders>
              <w:top w:val="single" w:color="auto" w:sz="6" w:space="0"/>
              <w:left w:val="single" w:color="auto" w:sz="12"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其他杂质</w:t>
            </w:r>
          </w:p>
        </w:tc>
        <w:tc>
          <w:tcPr>
            <w:tcW w:w="5448"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pPr>
              <w:widowControl/>
              <w:jc w:val="center"/>
              <w:rPr>
                <w:rFonts w:ascii="宋体" w:hAnsi="宋体" w:cs="宋体"/>
                <w:kern w:val="0"/>
                <w:szCs w:val="21"/>
              </w:rPr>
            </w:pPr>
            <w:r>
              <w:rPr>
                <w:rFonts w:hint="eastAsia" w:ascii="宋体" w:hAnsi="宋体" w:cs="宋体"/>
                <w:kern w:val="0"/>
                <w:szCs w:val="21"/>
              </w:rPr>
              <w:t>不应有漂浮的油脂和泡沫；不应有明显的颜色和异味</w:t>
            </w:r>
          </w:p>
        </w:tc>
        <w:tc>
          <w:tcPr>
            <w:tcW w:w="1198" w:type="dxa"/>
            <w:vMerge w:val="continue"/>
            <w:tcBorders>
              <w:top w:val="single" w:color="auto" w:sz="6" w:space="0"/>
              <w:left w:val="single" w:color="auto" w:sz="6" w:space="0"/>
              <w:bottom w:val="single" w:color="auto" w:sz="12" w:space="0"/>
              <w:right w:val="single" w:color="auto" w:sz="12" w:space="0"/>
            </w:tcBorders>
            <w:vAlign w:val="center"/>
          </w:tcPr>
          <w:p>
            <w:pPr>
              <w:widowControl/>
              <w:jc w:val="left"/>
              <w:rPr>
                <w:rFonts w:ascii="宋体" w:hAnsi="宋体" w:cs="宋体"/>
                <w:kern w:val="0"/>
                <w:sz w:val="24"/>
              </w:rPr>
            </w:pPr>
          </w:p>
        </w:tc>
      </w:tr>
    </w:tbl>
    <w:p>
      <w:pPr>
        <w:adjustRightInd w:val="0"/>
        <w:spacing w:line="180" w:lineRule="exact"/>
        <w:ind w:right="-126" w:rightChars="-60" w:firstLine="496" w:firstLineChars="200"/>
        <w:jc w:val="center"/>
        <w:rPr>
          <w:rFonts w:ascii="宋体" w:hAnsi="宋体"/>
          <w:spacing w:val="4"/>
          <w:sz w:val="24"/>
        </w:rPr>
      </w:pPr>
    </w:p>
    <w:p>
      <w:pPr>
        <w:keepNext w:val="0"/>
        <w:keepLines w:val="0"/>
        <w:pageBreakBefore w:val="0"/>
        <w:widowControl w:val="0"/>
        <w:kinsoku/>
        <w:wordWrap/>
        <w:overflowPunct/>
        <w:topLinePunct w:val="0"/>
        <w:autoSpaceDE/>
        <w:autoSpaceDN/>
        <w:bidi w:val="0"/>
        <w:adjustRightInd w:val="0"/>
        <w:snapToGrid/>
        <w:spacing w:line="360"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5.</w:t>
      </w:r>
      <w:r>
        <w:rPr>
          <w:rFonts w:ascii="宋体" w:hAnsi="宋体"/>
          <w:b/>
          <w:spacing w:val="4"/>
          <w:sz w:val="28"/>
          <w:szCs w:val="28"/>
        </w:rPr>
        <w:t>2</w:t>
      </w:r>
      <w:r>
        <w:rPr>
          <w:rFonts w:hint="eastAsia" w:ascii="宋体" w:hAnsi="宋体"/>
          <w:b/>
          <w:spacing w:val="4"/>
          <w:sz w:val="28"/>
          <w:szCs w:val="28"/>
        </w:rPr>
        <w:t>级配碎石基层材料要求</w:t>
      </w:r>
    </w:p>
    <w:p>
      <w:pPr>
        <w:keepNext w:val="0"/>
        <w:keepLines w:val="0"/>
        <w:pageBreakBefore w:val="0"/>
        <w:widowControl w:val="0"/>
        <w:kinsoku/>
        <w:wordWrap/>
        <w:overflowPunct/>
        <w:topLinePunct w:val="0"/>
        <w:autoSpaceDE/>
        <w:autoSpaceDN/>
        <w:bidi w:val="0"/>
        <w:adjustRightInd w:val="0"/>
        <w:snapToGrid/>
        <w:spacing w:line="360" w:lineRule="auto"/>
        <w:ind w:left="-53" w:leftChars="-25" w:right="53" w:rightChars="25" w:firstLine="496" w:firstLineChars="200"/>
        <w:textAlignment w:val="auto"/>
        <w:rPr>
          <w:rFonts w:ascii="宋体" w:hAnsi="宋体" w:cs="宋体"/>
          <w:spacing w:val="4"/>
          <w:sz w:val="24"/>
        </w:rPr>
      </w:pPr>
      <w:r>
        <w:rPr>
          <w:rFonts w:hint="eastAsia" w:ascii="宋体" w:hAnsi="宋体" w:cs="宋体"/>
          <w:spacing w:val="4"/>
          <w:sz w:val="24"/>
        </w:rPr>
        <w:t>基层采用山皮石，其最大粒径应不超过12.0cm，粒径2～12cm的山皮石质量大于50%，不均匀系数Cu≥5，曲率系数Cc=1～3。以保证形成骨架结构，提高结构层的稳定性，同时要求山皮石料具有较好的自然级配。</w:t>
      </w:r>
    </w:p>
    <w:p>
      <w:pPr>
        <w:keepNext w:val="0"/>
        <w:keepLines w:val="0"/>
        <w:pageBreakBefore w:val="0"/>
        <w:widowControl w:val="0"/>
        <w:kinsoku/>
        <w:wordWrap/>
        <w:overflowPunct/>
        <w:topLinePunct w:val="0"/>
        <w:autoSpaceDE/>
        <w:autoSpaceDN/>
        <w:bidi w:val="0"/>
        <w:adjustRightInd w:val="0"/>
        <w:snapToGrid/>
        <w:spacing w:line="360" w:lineRule="auto"/>
        <w:ind w:right="53" w:rightChars="25" w:firstLine="496" w:firstLineChars="200"/>
        <w:textAlignment w:val="auto"/>
        <w:rPr>
          <w:rFonts w:ascii="宋体" w:hAnsi="宋体" w:cs="宋体"/>
          <w:spacing w:val="4"/>
          <w:sz w:val="24"/>
        </w:rPr>
      </w:pPr>
      <w:r>
        <w:rPr>
          <w:rFonts w:hint="eastAsia" w:ascii="宋体" w:hAnsi="宋体" w:cs="宋体"/>
          <w:spacing w:val="4"/>
          <w:sz w:val="24"/>
        </w:rPr>
        <w:t>1.填料的最大含土量控制在10%以内，并且不应含腐植土等杂物；</w:t>
      </w:r>
    </w:p>
    <w:p>
      <w:pPr>
        <w:keepNext w:val="0"/>
        <w:keepLines w:val="0"/>
        <w:pageBreakBefore w:val="0"/>
        <w:widowControl w:val="0"/>
        <w:kinsoku/>
        <w:wordWrap/>
        <w:overflowPunct/>
        <w:topLinePunct w:val="0"/>
        <w:autoSpaceDE/>
        <w:autoSpaceDN/>
        <w:bidi w:val="0"/>
        <w:adjustRightInd w:val="0"/>
        <w:snapToGrid/>
        <w:spacing w:line="360" w:lineRule="auto"/>
        <w:ind w:right="53" w:rightChars="25" w:firstLine="496" w:firstLineChars="200"/>
        <w:textAlignment w:val="auto"/>
        <w:rPr>
          <w:rFonts w:ascii="宋体" w:hAnsi="宋体" w:cs="宋体"/>
          <w:spacing w:val="4"/>
          <w:sz w:val="24"/>
        </w:rPr>
      </w:pPr>
      <w:r>
        <w:rPr>
          <w:rFonts w:hint="eastAsia" w:ascii="宋体" w:hAnsi="宋体" w:cs="宋体"/>
          <w:spacing w:val="4"/>
          <w:sz w:val="24"/>
        </w:rPr>
        <w:t>2.山皮石中石料的抗压强度不小于20MPa；</w:t>
      </w:r>
    </w:p>
    <w:p>
      <w:pPr>
        <w:keepNext w:val="0"/>
        <w:keepLines w:val="0"/>
        <w:pageBreakBefore w:val="0"/>
        <w:widowControl w:val="0"/>
        <w:kinsoku/>
        <w:wordWrap/>
        <w:overflowPunct/>
        <w:topLinePunct w:val="0"/>
        <w:autoSpaceDE/>
        <w:autoSpaceDN/>
        <w:bidi w:val="0"/>
        <w:adjustRightInd w:val="0"/>
        <w:snapToGrid/>
        <w:spacing w:line="360" w:lineRule="auto"/>
        <w:ind w:left="-53" w:leftChars="-25" w:right="53" w:rightChars="25" w:firstLine="496" w:firstLineChars="200"/>
        <w:textAlignment w:val="auto"/>
        <w:rPr>
          <w:rFonts w:ascii="宋体" w:hAnsi="宋体"/>
          <w:color w:val="0000FF"/>
          <w:spacing w:val="4"/>
          <w:sz w:val="24"/>
        </w:rPr>
      </w:pPr>
      <w:r>
        <w:rPr>
          <w:rFonts w:hint="eastAsia" w:ascii="宋体" w:hAnsi="宋体" w:cs="宋体"/>
          <w:spacing w:val="4"/>
          <w:sz w:val="24"/>
        </w:rPr>
        <w:t>3.施工前应先修筑试验段，以确定能达到最大压实干密度的松铺厚度与压实机械组合，宜采用12t以上震动压路机或25t以上的轮胎压路机。压实密度应符合试验段确定的施工工艺，沉降差不应大于试验路段确定的沉降差</w:t>
      </w:r>
      <w:r>
        <w:rPr>
          <w:rFonts w:hint="eastAsia" w:ascii="宋体" w:hAnsi="宋体"/>
          <w:color w:val="0000FF"/>
          <w:spacing w:val="4"/>
          <w:sz w:val="24"/>
        </w:rPr>
        <w:t>。</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b/>
          <w:spacing w:val="4"/>
          <w:sz w:val="28"/>
          <w:szCs w:val="28"/>
        </w:rPr>
      </w:pPr>
      <w:bookmarkStart w:id="5" w:name="OLE_LINK1"/>
      <w:r>
        <w:rPr>
          <w:rFonts w:hint="eastAsia" w:ascii="宋体" w:hAnsi="宋体"/>
          <w:b/>
          <w:spacing w:val="4"/>
          <w:sz w:val="28"/>
          <w:szCs w:val="28"/>
        </w:rPr>
        <w:t>六.施工要求及注意事项</w:t>
      </w:r>
    </w:p>
    <w:p>
      <w:pPr>
        <w:keepNext w:val="0"/>
        <w:keepLines w:val="0"/>
        <w:pageBreakBefore w:val="0"/>
        <w:widowControl w:val="0"/>
        <w:kinsoku/>
        <w:wordWrap/>
        <w:overflowPunct/>
        <w:topLinePunct w:val="0"/>
        <w:autoSpaceDE/>
        <w:autoSpaceDN/>
        <w:bidi w:val="0"/>
        <w:adjustRightInd w:val="0"/>
        <w:snapToGrid/>
        <w:spacing w:line="360" w:lineRule="auto"/>
        <w:ind w:firstLine="578" w:firstLineChars="200"/>
        <w:textAlignment w:val="auto"/>
        <w:rPr>
          <w:rFonts w:ascii="宋体" w:hAnsi="宋体"/>
          <w:b/>
          <w:bCs/>
          <w:spacing w:val="4"/>
          <w:sz w:val="28"/>
          <w:szCs w:val="28"/>
        </w:rPr>
      </w:pPr>
      <w:r>
        <w:rPr>
          <w:rFonts w:hAnsi="宋体"/>
          <w:b/>
          <w:bCs/>
          <w:spacing w:val="4"/>
          <w:sz w:val="28"/>
          <w:szCs w:val="28"/>
        </w:rPr>
        <w:t>6</w:t>
      </w:r>
      <w:r>
        <w:rPr>
          <w:rFonts w:hint="eastAsia" w:ascii="宋体" w:hAnsi="宋体"/>
          <w:b/>
          <w:bCs/>
          <w:spacing w:val="4"/>
          <w:sz w:val="28"/>
          <w:szCs w:val="28"/>
        </w:rPr>
        <w:t>.</w:t>
      </w:r>
      <w:r>
        <w:rPr>
          <w:rFonts w:hAnsi="宋体"/>
          <w:b/>
          <w:bCs/>
          <w:spacing w:val="4"/>
          <w:sz w:val="28"/>
          <w:szCs w:val="28"/>
        </w:rPr>
        <w:t>1</w:t>
      </w:r>
      <w:r>
        <w:rPr>
          <w:rFonts w:hint="eastAsia"/>
          <w:b/>
          <w:bCs/>
          <w:sz w:val="28"/>
          <w:szCs w:val="28"/>
        </w:rPr>
        <w:t>水泥面层施工要求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（1）水泥面层施工前必须对下承层的强度和变形进行检测，下承层必须稳定、密实和均匀，检测结果必须满足规范和设计的要求。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（2）水泥面层开工前、应参严格按照《公路水泥混凝土路面施工技术细则》（JTG</w:t>
      </w:r>
      <w:r>
        <w:rPr>
          <w:sz w:val="24"/>
        </w:rPr>
        <w:t>/T</w:t>
      </w:r>
      <w:r>
        <w:rPr>
          <w:rFonts w:hint="eastAsia"/>
          <w:sz w:val="24"/>
        </w:rPr>
        <w:t xml:space="preserve"> F30-20</w:t>
      </w:r>
      <w:r>
        <w:rPr>
          <w:sz w:val="24"/>
        </w:rPr>
        <w:t>14</w:t>
      </w:r>
      <w:r>
        <w:rPr>
          <w:rFonts w:hint="eastAsia"/>
          <w:sz w:val="24"/>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（3）为保证施工质量，不得用商品混凝土替代路面混凝土，水泥混合料均采用机械集中拌和站拌和，并采用全幅/半幅施工。</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rPr>
      </w:pPr>
      <w:r>
        <w:rPr>
          <w:rFonts w:hint="eastAsia"/>
          <w:sz w:val="24"/>
        </w:rPr>
        <w:t>集中拌和时，应符合下列要求：</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hanging="219" w:firstLineChars="0"/>
        <w:textAlignment w:val="auto"/>
        <w:rPr>
          <w:sz w:val="24"/>
        </w:rPr>
      </w:pPr>
      <w:r>
        <w:rPr>
          <w:rFonts w:hint="eastAsia"/>
          <w:sz w:val="24"/>
        </w:rPr>
        <w:t>碎石最大公称粒径应大于</w:t>
      </w:r>
      <w:r>
        <w:rPr>
          <w:sz w:val="24"/>
        </w:rPr>
        <w:t>31.</w:t>
      </w:r>
      <w:r>
        <w:rPr>
          <w:rFonts w:hint="eastAsia"/>
          <w:sz w:val="24"/>
        </w:rPr>
        <w:t>5㎜。</w:t>
      </w:r>
    </w:p>
    <w:p>
      <w:pPr>
        <w:keepNext w:val="0"/>
        <w:keepLines w:val="0"/>
        <w:pageBreakBefore w:val="0"/>
        <w:widowControl w:val="0"/>
        <w:kinsoku/>
        <w:wordWrap/>
        <w:overflowPunct/>
        <w:topLinePunct w:val="0"/>
        <w:autoSpaceDE/>
        <w:autoSpaceDN/>
        <w:bidi w:val="0"/>
        <w:adjustRightInd/>
        <w:snapToGrid/>
        <w:spacing w:line="360" w:lineRule="auto"/>
        <w:ind w:left="567" w:leftChars="270"/>
        <w:textAlignment w:val="auto"/>
        <w:rPr>
          <w:sz w:val="24"/>
        </w:rPr>
      </w:pPr>
      <w:r>
        <w:rPr>
          <w:rFonts w:hint="eastAsia"/>
          <w:sz w:val="24"/>
        </w:rPr>
        <w:t>②不同粒径的碎石以及细集料应分开堆放。</w:t>
      </w:r>
    </w:p>
    <w:p>
      <w:pPr>
        <w:keepNext w:val="0"/>
        <w:keepLines w:val="0"/>
        <w:pageBreakBefore w:val="0"/>
        <w:widowControl w:val="0"/>
        <w:kinsoku/>
        <w:wordWrap/>
        <w:overflowPunct/>
        <w:topLinePunct w:val="0"/>
        <w:autoSpaceDE/>
        <w:autoSpaceDN/>
        <w:bidi w:val="0"/>
        <w:adjustRightInd/>
        <w:snapToGrid/>
        <w:spacing w:line="360" w:lineRule="auto"/>
        <w:ind w:left="567" w:leftChars="270"/>
        <w:textAlignment w:val="auto"/>
        <w:rPr>
          <w:sz w:val="24"/>
        </w:rPr>
      </w:pPr>
      <w:r>
        <w:rPr>
          <w:rFonts w:hint="eastAsia"/>
          <w:sz w:val="24"/>
        </w:rPr>
        <w:t>③水泥和细集料都应有覆盖，防止雨淋过湿。</w:t>
      </w:r>
    </w:p>
    <w:p>
      <w:pPr>
        <w:keepNext w:val="0"/>
        <w:keepLines w:val="0"/>
        <w:pageBreakBefore w:val="0"/>
        <w:widowControl w:val="0"/>
        <w:kinsoku/>
        <w:wordWrap/>
        <w:overflowPunct/>
        <w:topLinePunct w:val="0"/>
        <w:autoSpaceDE/>
        <w:autoSpaceDN/>
        <w:bidi w:val="0"/>
        <w:adjustRightInd/>
        <w:snapToGrid/>
        <w:spacing w:line="360" w:lineRule="auto"/>
        <w:ind w:left="567" w:leftChars="270"/>
        <w:textAlignment w:val="auto"/>
        <w:rPr>
          <w:sz w:val="24"/>
        </w:rPr>
      </w:pPr>
      <w:r>
        <w:rPr>
          <w:rFonts w:hint="eastAsia"/>
          <w:sz w:val="24"/>
        </w:rPr>
        <w:t>④配料应准确，拌和应均匀。</w:t>
      </w:r>
    </w:p>
    <w:p>
      <w:pPr>
        <w:keepNext w:val="0"/>
        <w:keepLines w:val="0"/>
        <w:pageBreakBefore w:val="0"/>
        <w:widowControl w:val="0"/>
        <w:kinsoku/>
        <w:wordWrap/>
        <w:overflowPunct/>
        <w:topLinePunct w:val="0"/>
        <w:autoSpaceDE/>
        <w:autoSpaceDN/>
        <w:bidi w:val="0"/>
        <w:adjustRightInd/>
        <w:snapToGrid/>
        <w:spacing w:line="360" w:lineRule="auto"/>
        <w:ind w:left="567" w:leftChars="270"/>
        <w:textAlignment w:val="auto"/>
        <w:rPr>
          <w:sz w:val="24"/>
        </w:rPr>
      </w:pPr>
      <w:r>
        <w:rPr>
          <w:rFonts w:hint="eastAsia"/>
          <w:sz w:val="24"/>
        </w:rPr>
        <w:t>⑤混合料的含水量应略大于最佳含水量，使混合料运到现场摊铺后振捣时的含水量能接近最佳含水量。</w:t>
      </w:r>
    </w:p>
    <w:p>
      <w:pPr>
        <w:keepNext w:val="0"/>
        <w:keepLines w:val="0"/>
        <w:pageBreakBefore w:val="0"/>
        <w:widowControl w:val="0"/>
        <w:kinsoku/>
        <w:wordWrap/>
        <w:overflowPunct/>
        <w:topLinePunct w:val="0"/>
        <w:autoSpaceDE/>
        <w:autoSpaceDN/>
        <w:bidi w:val="0"/>
        <w:adjustRightInd/>
        <w:snapToGrid/>
        <w:spacing w:line="360" w:lineRule="auto"/>
        <w:ind w:left="567" w:leftChars="270"/>
        <w:textAlignment w:val="auto"/>
        <w:rPr>
          <w:sz w:val="24"/>
        </w:rPr>
      </w:pPr>
      <w:r>
        <w:rPr>
          <w:rFonts w:hint="eastAsia"/>
          <w:sz w:val="24"/>
        </w:rPr>
        <w:t>⑥拌成混合料的堆放时间不宜超过24h，宜在当天将拌成的混合料运送到铺筑现场，不应将拌成的混合料长时间堆放。</w:t>
      </w:r>
    </w:p>
    <w:p>
      <w:pPr>
        <w:keepNext w:val="0"/>
        <w:keepLines w:val="0"/>
        <w:pageBreakBefore w:val="0"/>
        <w:widowControl w:val="0"/>
        <w:kinsoku/>
        <w:wordWrap/>
        <w:overflowPunct/>
        <w:topLinePunct w:val="0"/>
        <w:autoSpaceDE/>
        <w:autoSpaceDN/>
        <w:bidi w:val="0"/>
        <w:adjustRightInd/>
        <w:snapToGrid/>
        <w:spacing w:line="360" w:lineRule="auto"/>
        <w:ind w:firstLine="566" w:firstLineChars="236"/>
        <w:textAlignment w:val="auto"/>
        <w:rPr>
          <w:sz w:val="24"/>
        </w:rPr>
      </w:pPr>
      <w:r>
        <w:rPr>
          <w:rFonts w:hint="eastAsia"/>
          <w:sz w:val="24"/>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（4）混凝土路面施工时，不应扰动原有水泥混凝土路面的原有拉杆及传力杆。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（5）面层施工机械选择应符合《公路水泥混凝土路面施工技术细则》（JTG</w:t>
      </w:r>
      <w:r>
        <w:rPr>
          <w:sz w:val="24"/>
        </w:rPr>
        <w:t>/T</w:t>
      </w:r>
      <w:r>
        <w:rPr>
          <w:rFonts w:hint="eastAsia"/>
          <w:sz w:val="24"/>
        </w:rPr>
        <w:t xml:space="preserve"> F30-20</w:t>
      </w:r>
      <w:r>
        <w:rPr>
          <w:sz w:val="24"/>
        </w:rPr>
        <w:t>14</w:t>
      </w:r>
      <w:r>
        <w:rPr>
          <w:rFonts w:hint="eastAsia"/>
          <w:sz w:val="24"/>
        </w:rPr>
        <w:t>）规定的机械装备要求。混凝土原材料的检测项目和频率应符合《公路水泥混凝土路面施工技术细则》（JTG</w:t>
      </w:r>
      <w:r>
        <w:rPr>
          <w:sz w:val="24"/>
        </w:rPr>
        <w:t>/T</w:t>
      </w:r>
      <w:r>
        <w:rPr>
          <w:rFonts w:hint="eastAsia"/>
          <w:sz w:val="24"/>
        </w:rPr>
        <w:t xml:space="preserve"> F30-20</w:t>
      </w:r>
      <w:r>
        <w:rPr>
          <w:sz w:val="24"/>
        </w:rPr>
        <w:t>14</w:t>
      </w:r>
      <w:r>
        <w:rPr>
          <w:rFonts w:hint="eastAsia"/>
          <w:sz w:val="24"/>
        </w:rPr>
        <w:t>）的要求。面板铺筑前，应对基层进行全面的破损检查，当基层产生纵、横向断裂、隆起或碾压时，应采用有效措施进行彻底修复。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6）搅拌设备应按总拌和能力确定搅拌楼数量和型号，应优先选用间歇式搅拌楼，每台搅拌楼在投入生产前，必须进行标定和试拌。搅拌楼混凝土拌和计量允许偏差应符合《公路水泥混凝土路面施工技术细则》（JTG</w:t>
      </w:r>
      <w:r>
        <w:rPr>
          <w:sz w:val="24"/>
        </w:rPr>
        <w:t>/T</w:t>
      </w:r>
      <w:r>
        <w:rPr>
          <w:rFonts w:hint="eastAsia"/>
          <w:sz w:val="24"/>
        </w:rPr>
        <w:t xml:space="preserve"> F30-20</w:t>
      </w:r>
      <w:r>
        <w:rPr>
          <w:sz w:val="24"/>
        </w:rPr>
        <w:t>14</w:t>
      </w:r>
      <w:r>
        <w:rPr>
          <w:rFonts w:hint="eastAsia"/>
          <w:sz w:val="24"/>
        </w:rPr>
        <w:t>）的要求。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sz w:val="24"/>
        </w:rPr>
        <w:t>/T</w:t>
      </w:r>
      <w:r>
        <w:rPr>
          <w:rFonts w:hint="eastAsia"/>
          <w:sz w:val="24"/>
        </w:rPr>
        <w:t xml:space="preserve"> F30-20</w:t>
      </w:r>
      <w:r>
        <w:rPr>
          <w:sz w:val="24"/>
        </w:rPr>
        <w:t>14</w:t>
      </w:r>
      <w:r>
        <w:rPr>
          <w:rFonts w:hint="eastAsia"/>
          <w:sz w:val="24"/>
        </w:rPr>
        <w:t>）的要求。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（8）混凝土路面铺筑完成或软作抗滑构造完毕后应立即开始养生，养生时间应根据混凝土弯拉强度增长情况而定，不宜小于设计弯拉强度的80%，养生天数宜为14～21d。面板达到设计弯拉强度后，方可开放交通。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混凝土面层铺筑应符合《公路水泥混凝土路面施工技术细则》（JTG</w:t>
      </w:r>
      <w:r>
        <w:rPr>
          <w:sz w:val="24"/>
        </w:rPr>
        <w:t>/T</w:t>
      </w:r>
      <w:r>
        <w:rPr>
          <w:rFonts w:hint="eastAsia"/>
          <w:sz w:val="24"/>
        </w:rPr>
        <w:t xml:space="preserve"> F30-20</w:t>
      </w:r>
      <w:r>
        <w:rPr>
          <w:sz w:val="24"/>
        </w:rPr>
        <w:t>14</w:t>
      </w:r>
      <w:r>
        <w:rPr>
          <w:rFonts w:hint="eastAsia"/>
          <w:sz w:val="24"/>
        </w:rPr>
        <w:t>）的要求。</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b/>
          <w:bCs/>
          <w:spacing w:val="4"/>
          <w:sz w:val="28"/>
          <w:szCs w:val="28"/>
        </w:rPr>
      </w:pPr>
      <w:r>
        <w:rPr>
          <w:rFonts w:hAnsi="宋体"/>
          <w:b/>
          <w:bCs/>
          <w:spacing w:val="4"/>
          <w:sz w:val="28"/>
          <w:szCs w:val="28"/>
        </w:rPr>
        <w:t>6</w:t>
      </w:r>
      <w:r>
        <w:rPr>
          <w:rFonts w:hint="eastAsia" w:ascii="宋体" w:hAnsi="宋体"/>
          <w:b/>
          <w:bCs/>
          <w:spacing w:val="4"/>
          <w:sz w:val="28"/>
          <w:szCs w:val="28"/>
        </w:rPr>
        <w:t>.</w:t>
      </w:r>
      <w:r>
        <w:rPr>
          <w:rFonts w:hAnsi="宋体"/>
          <w:b/>
          <w:bCs/>
          <w:spacing w:val="4"/>
          <w:sz w:val="28"/>
          <w:szCs w:val="28"/>
        </w:rPr>
        <w:t xml:space="preserve">2 </w:t>
      </w:r>
      <w:r>
        <w:rPr>
          <w:rFonts w:hint="eastAsia"/>
          <w:b/>
          <w:bCs/>
          <w:sz w:val="28"/>
          <w:szCs w:val="28"/>
        </w:rPr>
        <w:t>路基施工要求</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bookmarkStart w:id="6" w:name="_Hlk48287428"/>
      <w:r>
        <w:rPr>
          <w:rFonts w:hint="eastAsia" w:ascii="宋体" w:hAnsi="宋体"/>
          <w:spacing w:val="4"/>
          <w:sz w:val="24"/>
        </w:rPr>
        <w:t>遵照《公路路基施工技术规范》（JTG /T 3610～2019）及其它相关规范、规定进行施工。</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1、路基</w:t>
      </w:r>
      <w:bookmarkStart w:id="7" w:name="OLE_LINK2"/>
      <w:r>
        <w:rPr>
          <w:rFonts w:hint="eastAsia" w:ascii="宋体" w:hAnsi="宋体"/>
          <w:spacing w:val="4"/>
          <w:sz w:val="24"/>
        </w:rPr>
        <w:t>土方施工采用机械挖土、汽车运输、机械碾压方法施工。</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2、路基土方必须分层碾压，严格控制最佳含水量，达到要求的压实度。</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3、路基处理应避开不利季节，在枯水季节进行施工。</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4、利用旧路路基段，路基施工应注意保通，在施工时应渠化交通，做好安全预告工作，做好文明施工安排，确保施工及行车安全。</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5、在施工时应按顺序有计划地开展作业面，不宜多开作业面，保证修补路段尽快通车。</w:t>
      </w:r>
      <w:bookmarkEnd w:id="7"/>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ascii="宋体" w:hAnsi="宋体"/>
          <w:spacing w:val="4"/>
          <w:sz w:val="24"/>
        </w:rPr>
        <w:t>6</w:t>
      </w:r>
      <w:r>
        <w:rPr>
          <w:rFonts w:hint="eastAsia" w:ascii="宋体" w:hAnsi="宋体"/>
          <w:spacing w:val="4"/>
          <w:sz w:val="24"/>
        </w:rPr>
        <w:t>、施工单位应严格按照施工图文件施工，不得随意变更设计文件，施工图说明及设计文件中未提及的，均按交通部有关施工技术规范执行；</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ascii="宋体" w:hAnsi="宋体"/>
          <w:spacing w:val="4"/>
          <w:sz w:val="24"/>
        </w:rPr>
        <w:t>7</w:t>
      </w:r>
      <w:r>
        <w:rPr>
          <w:rFonts w:hint="eastAsia" w:ascii="宋体" w:hAnsi="宋体"/>
          <w:spacing w:val="4"/>
          <w:sz w:val="24"/>
        </w:rPr>
        <w:t>、其他未尽事宜，按相应规范标准执行。</w:t>
      </w:r>
    </w:p>
    <w:bookmarkEnd w:id="5"/>
    <w:bookmarkEnd w:id="6"/>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b/>
          <w:spacing w:val="4"/>
          <w:sz w:val="28"/>
          <w:szCs w:val="28"/>
        </w:rPr>
      </w:pPr>
      <w:r>
        <w:rPr>
          <w:rFonts w:hint="eastAsia" w:ascii="宋体" w:hAnsi="宋体"/>
          <w:b/>
          <w:spacing w:val="4"/>
          <w:sz w:val="28"/>
          <w:szCs w:val="28"/>
        </w:rPr>
        <w:t>七</w:t>
      </w:r>
      <w:bookmarkStart w:id="8" w:name="_Toc227681547"/>
      <w:r>
        <w:rPr>
          <w:rFonts w:hint="eastAsia" w:ascii="宋体" w:hAnsi="宋体"/>
          <w:b/>
          <w:spacing w:val="4"/>
          <w:sz w:val="28"/>
          <w:szCs w:val="28"/>
        </w:rPr>
        <w:t>.</w:t>
      </w:r>
      <w:bookmarkEnd w:id="8"/>
      <w:r>
        <w:rPr>
          <w:rFonts w:hint="eastAsia" w:ascii="宋体" w:hAnsi="宋体"/>
          <w:b/>
          <w:spacing w:val="4"/>
          <w:sz w:val="28"/>
          <w:szCs w:val="28"/>
        </w:rPr>
        <w:t>施工组织设计说明</w:t>
      </w:r>
    </w:p>
    <w:p>
      <w:pPr>
        <w:keepNext w:val="0"/>
        <w:keepLines w:val="0"/>
        <w:pageBreakBefore w:val="0"/>
        <w:widowControl w:val="0"/>
        <w:kinsoku/>
        <w:wordWrap/>
        <w:overflowPunct/>
        <w:topLinePunct w:val="0"/>
        <w:autoSpaceDE/>
        <w:autoSpaceDN/>
        <w:bidi w:val="0"/>
        <w:snapToGrid/>
        <w:spacing w:line="360" w:lineRule="auto"/>
        <w:ind w:right="53" w:rightChars="25" w:firstLine="578" w:firstLineChars="200"/>
        <w:textAlignment w:val="auto"/>
        <w:outlineLvl w:val="0"/>
        <w:rPr>
          <w:rFonts w:hint="eastAsia" w:ascii="宋体" w:hAnsi="宋体"/>
          <w:b/>
          <w:spacing w:val="4"/>
          <w:sz w:val="28"/>
          <w:szCs w:val="28"/>
        </w:rPr>
      </w:pPr>
      <w:r>
        <w:rPr>
          <w:rFonts w:hint="eastAsia" w:ascii="宋体" w:hAnsi="宋体"/>
          <w:b/>
          <w:spacing w:val="4"/>
          <w:sz w:val="28"/>
          <w:szCs w:val="28"/>
        </w:rPr>
        <w:t>7.1建设工期</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根据业主意见，本项目为202</w:t>
      </w:r>
      <w:r>
        <w:rPr>
          <w:rFonts w:hint="eastAsia" w:ascii="宋体" w:hAnsi="宋体"/>
          <w:color w:val="0000FF"/>
          <w:spacing w:val="4"/>
          <w:sz w:val="24"/>
          <w:lang w:val="en-US" w:eastAsia="zh-CN"/>
        </w:rPr>
        <w:t>5</w:t>
      </w:r>
      <w:r>
        <w:rPr>
          <w:rFonts w:hint="eastAsia" w:ascii="宋体" w:hAnsi="宋体"/>
          <w:color w:val="0000FF"/>
          <w:spacing w:val="4"/>
          <w:sz w:val="24"/>
        </w:rPr>
        <w:t>年移民项目,本项目建设工期为202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5</w:t>
      </w:r>
      <w:r>
        <w:rPr>
          <w:rFonts w:hint="eastAsia" w:ascii="宋体" w:hAnsi="宋体"/>
          <w:color w:val="0000FF"/>
          <w:spacing w:val="4"/>
          <w:sz w:val="24"/>
        </w:rPr>
        <w:t>月-202</w:t>
      </w:r>
      <w:r>
        <w:rPr>
          <w:rFonts w:hint="eastAsia" w:ascii="宋体" w:hAnsi="宋体"/>
          <w:color w:val="0000FF"/>
          <w:spacing w:val="4"/>
          <w:sz w:val="24"/>
          <w:lang w:val="en-US" w:eastAsia="zh-CN"/>
        </w:rPr>
        <w:t>4</w:t>
      </w:r>
      <w:r>
        <w:rPr>
          <w:rFonts w:hint="eastAsia" w:ascii="宋体" w:hAnsi="宋体"/>
          <w:color w:val="0000FF"/>
          <w:spacing w:val="4"/>
          <w:sz w:val="24"/>
        </w:rPr>
        <w:t>年</w:t>
      </w:r>
      <w:r>
        <w:rPr>
          <w:rFonts w:ascii="宋体" w:hAnsi="宋体"/>
          <w:color w:val="0000FF"/>
          <w:spacing w:val="4"/>
          <w:sz w:val="24"/>
        </w:rPr>
        <w:t>8</w:t>
      </w:r>
      <w:r>
        <w:rPr>
          <w:rFonts w:hint="eastAsia" w:ascii="宋体" w:hAnsi="宋体"/>
          <w:color w:val="0000FF"/>
          <w:spacing w:val="4"/>
          <w:sz w:val="24"/>
        </w:rPr>
        <w:t>月。</w:t>
      </w:r>
    </w:p>
    <w:p>
      <w:pPr>
        <w:keepNext w:val="0"/>
        <w:keepLines w:val="0"/>
        <w:pageBreakBefore w:val="0"/>
        <w:widowControl w:val="0"/>
        <w:kinsoku/>
        <w:wordWrap/>
        <w:overflowPunct/>
        <w:topLinePunct w:val="0"/>
        <w:autoSpaceDE/>
        <w:autoSpaceDN/>
        <w:bidi w:val="0"/>
        <w:snapToGrid/>
        <w:spacing w:line="360" w:lineRule="auto"/>
        <w:ind w:right="53" w:rightChars="25" w:firstLine="578" w:firstLineChars="200"/>
        <w:textAlignment w:val="auto"/>
        <w:outlineLvl w:val="0"/>
        <w:rPr>
          <w:rFonts w:hint="eastAsia" w:ascii="宋体" w:hAnsi="宋体"/>
          <w:b/>
          <w:spacing w:val="4"/>
          <w:sz w:val="28"/>
          <w:szCs w:val="28"/>
        </w:rPr>
      </w:pPr>
      <w:r>
        <w:rPr>
          <w:rFonts w:hint="eastAsia" w:ascii="宋体" w:hAnsi="宋体"/>
          <w:b/>
          <w:spacing w:val="4"/>
          <w:sz w:val="28"/>
          <w:szCs w:val="28"/>
        </w:rPr>
        <w:t>7.2施工组织、施工期限、主要工程的施工方法、工期、进度及措施</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color w:val="0000FF"/>
          <w:spacing w:val="4"/>
          <w:sz w:val="24"/>
        </w:rPr>
      </w:pPr>
      <w:r>
        <w:rPr>
          <w:rFonts w:ascii="宋体" w:hAnsi="宋体"/>
          <w:color w:val="0000FF"/>
          <w:spacing w:val="4"/>
          <w:sz w:val="24"/>
        </w:rPr>
        <w:t>1</w:t>
      </w:r>
      <w:r>
        <w:rPr>
          <w:rFonts w:hint="eastAsia" w:ascii="宋体" w:hAnsi="宋体"/>
          <w:color w:val="0000FF"/>
          <w:spacing w:val="4"/>
          <w:sz w:val="24"/>
        </w:rPr>
        <w:t>、桥涵工程：</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工期安排：202</w:t>
      </w:r>
      <w:r>
        <w:rPr>
          <w:rFonts w:hint="eastAsia" w:ascii="宋体" w:hAnsi="宋体"/>
          <w:color w:val="0000FF"/>
          <w:spacing w:val="4"/>
          <w:sz w:val="24"/>
          <w:lang w:val="en-US" w:eastAsia="zh-CN"/>
        </w:rPr>
        <w:t>5</w:t>
      </w:r>
      <w:r>
        <w:rPr>
          <w:rFonts w:hint="eastAsia" w:ascii="宋体" w:hAnsi="宋体"/>
          <w:color w:val="0000FF"/>
          <w:spacing w:val="4"/>
          <w:sz w:val="24"/>
        </w:rPr>
        <w:t>年5月-202</w:t>
      </w:r>
      <w:r>
        <w:rPr>
          <w:rFonts w:hint="eastAsia" w:ascii="宋体" w:hAnsi="宋体"/>
          <w:color w:val="0000FF"/>
          <w:spacing w:val="4"/>
          <w:sz w:val="24"/>
          <w:lang w:val="en-US" w:eastAsia="zh-CN"/>
        </w:rPr>
        <w:t>5</w:t>
      </w:r>
      <w:r>
        <w:rPr>
          <w:rFonts w:hint="eastAsia" w:ascii="宋体" w:hAnsi="宋体"/>
          <w:color w:val="0000FF"/>
          <w:spacing w:val="4"/>
          <w:sz w:val="24"/>
        </w:rPr>
        <w:t>年6月。</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ascii="宋体" w:hAnsi="宋体"/>
          <w:color w:val="0000FF"/>
          <w:spacing w:val="4"/>
          <w:sz w:val="24"/>
        </w:rPr>
        <w:t>2</w:t>
      </w:r>
      <w:r>
        <w:rPr>
          <w:rFonts w:hint="eastAsia" w:ascii="宋体" w:hAnsi="宋体"/>
          <w:color w:val="0000FF"/>
          <w:spacing w:val="4"/>
          <w:sz w:val="24"/>
        </w:rPr>
        <w:t>、路基工程：</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工期安排：202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6</w:t>
      </w:r>
      <w:r>
        <w:rPr>
          <w:rFonts w:hint="eastAsia" w:ascii="宋体" w:hAnsi="宋体"/>
          <w:color w:val="0000FF"/>
          <w:spacing w:val="4"/>
          <w:sz w:val="24"/>
        </w:rPr>
        <w:t>月-202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7</w:t>
      </w:r>
      <w:r>
        <w:rPr>
          <w:rFonts w:hint="eastAsia" w:ascii="宋体" w:hAnsi="宋体"/>
          <w:color w:val="0000FF"/>
          <w:spacing w:val="4"/>
          <w:sz w:val="24"/>
        </w:rPr>
        <w:t>月。为保证工程进度，施工时，可采取多个作业面同时施工。</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ascii="宋体" w:hAnsi="宋体"/>
          <w:color w:val="0000FF"/>
          <w:spacing w:val="4"/>
          <w:sz w:val="24"/>
        </w:rPr>
        <w:t>3</w:t>
      </w:r>
      <w:r>
        <w:rPr>
          <w:rFonts w:hint="eastAsia" w:ascii="宋体" w:hAnsi="宋体"/>
          <w:color w:val="0000FF"/>
          <w:spacing w:val="4"/>
          <w:sz w:val="24"/>
        </w:rPr>
        <w:t>、路面工程：</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全线面层采用机械摊铺。结构层为20cm水泥混凝土面层，</w:t>
      </w:r>
      <w:r>
        <w:rPr>
          <w:rFonts w:hint="eastAsia" w:ascii="宋体" w:hAnsi="宋体"/>
          <w:color w:val="0000FF"/>
          <w:spacing w:val="4"/>
          <w:sz w:val="24"/>
          <w:lang w:val="en-US" w:eastAsia="zh-CN"/>
        </w:rPr>
        <w:t>15</w:t>
      </w:r>
      <w:r>
        <w:rPr>
          <w:rFonts w:hint="eastAsia" w:ascii="宋体" w:hAnsi="宋体"/>
          <w:color w:val="0000FF"/>
          <w:spacing w:val="4"/>
          <w:sz w:val="24"/>
        </w:rPr>
        <w:t>cm级配碎石(山皮石)基层。</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工期安排：基层202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7</w:t>
      </w:r>
      <w:r>
        <w:rPr>
          <w:rFonts w:hint="eastAsia" w:ascii="宋体" w:hAnsi="宋体"/>
          <w:color w:val="0000FF"/>
          <w:spacing w:val="4"/>
          <w:sz w:val="24"/>
        </w:rPr>
        <w:t>月-202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8</w:t>
      </w:r>
      <w:r>
        <w:rPr>
          <w:rFonts w:hint="eastAsia" w:ascii="宋体" w:hAnsi="宋体"/>
          <w:color w:val="0000FF"/>
          <w:spacing w:val="4"/>
          <w:sz w:val="24"/>
        </w:rPr>
        <w:t>月；路面面层202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7</w:t>
      </w:r>
      <w:r>
        <w:rPr>
          <w:rFonts w:hint="eastAsia" w:ascii="宋体" w:hAnsi="宋体"/>
          <w:color w:val="0000FF"/>
          <w:spacing w:val="4"/>
          <w:sz w:val="24"/>
        </w:rPr>
        <w:t>月-202</w:t>
      </w:r>
      <w:r>
        <w:rPr>
          <w:rFonts w:hint="eastAsia" w:ascii="宋体" w:hAnsi="宋体"/>
          <w:color w:val="0000FF"/>
          <w:spacing w:val="4"/>
          <w:sz w:val="24"/>
          <w:lang w:val="en-US" w:eastAsia="zh-CN"/>
        </w:rPr>
        <w:t>5</w:t>
      </w:r>
      <w:r>
        <w:rPr>
          <w:rFonts w:hint="eastAsia" w:ascii="宋体" w:hAnsi="宋体"/>
          <w:color w:val="0000FF"/>
          <w:spacing w:val="4"/>
          <w:sz w:val="24"/>
        </w:rPr>
        <w:t>年</w:t>
      </w:r>
      <w:r>
        <w:rPr>
          <w:rFonts w:ascii="宋体" w:hAnsi="宋体"/>
          <w:color w:val="0000FF"/>
          <w:spacing w:val="4"/>
          <w:sz w:val="24"/>
        </w:rPr>
        <w:t>8</w:t>
      </w:r>
      <w:r>
        <w:rPr>
          <w:rFonts w:hint="eastAsia" w:ascii="宋体" w:hAnsi="宋体"/>
          <w:color w:val="0000FF"/>
          <w:spacing w:val="4"/>
          <w:sz w:val="24"/>
        </w:rPr>
        <w:t>月。</w:t>
      </w:r>
    </w:p>
    <w:p>
      <w:pPr>
        <w:keepNext w:val="0"/>
        <w:keepLines w:val="0"/>
        <w:pageBreakBefore w:val="0"/>
        <w:widowControl w:val="0"/>
        <w:kinsoku/>
        <w:wordWrap/>
        <w:overflowPunct/>
        <w:topLinePunct w:val="0"/>
        <w:autoSpaceDE/>
        <w:autoSpaceDN/>
        <w:bidi w:val="0"/>
        <w:snapToGrid/>
        <w:spacing w:line="360" w:lineRule="auto"/>
        <w:ind w:right="53" w:rightChars="25" w:firstLine="578" w:firstLineChars="200"/>
        <w:textAlignment w:val="auto"/>
        <w:outlineLvl w:val="0"/>
        <w:rPr>
          <w:rFonts w:hint="eastAsia" w:ascii="宋体" w:hAnsi="宋体"/>
          <w:b/>
          <w:spacing w:val="4"/>
          <w:sz w:val="28"/>
          <w:szCs w:val="28"/>
        </w:rPr>
      </w:pPr>
      <w:r>
        <w:rPr>
          <w:rFonts w:hint="eastAsia" w:ascii="宋体" w:hAnsi="宋体"/>
          <w:b/>
          <w:spacing w:val="4"/>
          <w:sz w:val="28"/>
          <w:szCs w:val="28"/>
        </w:rPr>
        <w:t>7.3主要材料供应、运输方案</w:t>
      </w:r>
      <w:bookmarkStart w:id="9" w:name="_GoBack"/>
      <w:bookmarkEnd w:id="9"/>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经现场调查，本着就地就近原则对材料质量及价格进行了比较，并进行了取样实验，最后确定主要材料产地。</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rPr>
        <w:t>1.水泥采用</w:t>
      </w:r>
      <w:r>
        <w:rPr>
          <w:rFonts w:hint="eastAsia" w:ascii="宋体" w:hAnsi="宋体"/>
          <w:color w:val="0000FF"/>
          <w:sz w:val="24"/>
          <w:lang w:val="en-US" w:eastAsia="zh-CN"/>
        </w:rPr>
        <w:t>桦甸</w:t>
      </w:r>
      <w:r>
        <w:rPr>
          <w:rFonts w:hint="eastAsia" w:ascii="宋体" w:hAnsi="宋体"/>
          <w:color w:val="0000FF"/>
          <w:spacing w:val="4"/>
          <w:sz w:val="24"/>
        </w:rPr>
        <w:t>水泥厂：汽车运距</w:t>
      </w:r>
      <w:r>
        <w:rPr>
          <w:rFonts w:hint="eastAsia" w:ascii="宋体" w:hAnsi="宋体"/>
          <w:color w:val="0000FF"/>
          <w:sz w:val="24"/>
          <w:lang w:val="en-US" w:eastAsia="zh-CN"/>
        </w:rPr>
        <w:t>22</w:t>
      </w:r>
      <w:r>
        <w:rPr>
          <w:rFonts w:hint="eastAsia" w:ascii="宋体" w:hAnsi="宋体"/>
          <w:color w:val="0000FF"/>
          <w:spacing w:val="4"/>
          <w:sz w:val="24"/>
        </w:rPr>
        <w:t>公里；</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color w:val="0000FF"/>
          <w:spacing w:val="4"/>
          <w:sz w:val="24"/>
        </w:rPr>
      </w:pPr>
      <w:r>
        <w:rPr>
          <w:rFonts w:hint="eastAsia" w:ascii="宋体" w:hAnsi="宋体"/>
          <w:color w:val="0000FF"/>
          <w:spacing w:val="4"/>
          <w:sz w:val="24"/>
          <w:lang w:val="en-US" w:eastAsia="zh-CN"/>
        </w:rPr>
        <w:t>2</w:t>
      </w:r>
      <w:r>
        <w:rPr>
          <w:rFonts w:hint="eastAsia" w:ascii="宋体" w:hAnsi="宋体"/>
          <w:color w:val="0000FF"/>
          <w:spacing w:val="4"/>
          <w:sz w:val="24"/>
        </w:rPr>
        <w:t>.碎石采用</w:t>
      </w:r>
      <w:r>
        <w:rPr>
          <w:rFonts w:hint="eastAsia" w:ascii="宋体" w:hAnsi="宋体"/>
          <w:color w:val="0000FF"/>
          <w:sz w:val="24"/>
          <w:lang w:val="en-US" w:eastAsia="zh-CN"/>
        </w:rPr>
        <w:t>欧力</w:t>
      </w:r>
      <w:r>
        <w:rPr>
          <w:rFonts w:hint="eastAsia" w:ascii="宋体" w:hAnsi="宋体"/>
          <w:color w:val="0000FF"/>
          <w:spacing w:val="4"/>
          <w:sz w:val="24"/>
        </w:rPr>
        <w:t>石场：汽车运距</w:t>
      </w:r>
      <w:r>
        <w:rPr>
          <w:rFonts w:hint="eastAsia" w:ascii="宋体" w:hAnsi="宋体"/>
          <w:color w:val="0000FF"/>
          <w:sz w:val="24"/>
          <w:lang w:val="en-US" w:eastAsia="zh-CN"/>
        </w:rPr>
        <w:t>19</w:t>
      </w:r>
      <w:r>
        <w:rPr>
          <w:rFonts w:hint="eastAsia" w:ascii="宋体" w:hAnsi="宋体"/>
          <w:color w:val="0000FF"/>
          <w:spacing w:val="4"/>
          <w:sz w:val="24"/>
        </w:rPr>
        <w:t>公里；</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hint="eastAsia" w:ascii="宋体" w:hAnsi="宋体"/>
          <w:color w:val="0000FF"/>
          <w:spacing w:val="4"/>
          <w:sz w:val="24"/>
        </w:rPr>
      </w:pPr>
      <w:r>
        <w:rPr>
          <w:rFonts w:hint="eastAsia" w:ascii="宋体" w:hAnsi="宋体"/>
          <w:color w:val="0000FF"/>
          <w:spacing w:val="4"/>
          <w:sz w:val="24"/>
          <w:lang w:val="en-US" w:eastAsia="zh-CN"/>
        </w:rPr>
        <w:t>3</w:t>
      </w:r>
      <w:r>
        <w:rPr>
          <w:rFonts w:hint="eastAsia" w:ascii="宋体" w:hAnsi="宋体"/>
          <w:color w:val="0000FF"/>
          <w:spacing w:val="4"/>
          <w:sz w:val="24"/>
        </w:rPr>
        <w:t>.</w:t>
      </w:r>
      <w:r>
        <w:rPr>
          <w:rFonts w:hint="eastAsia" w:ascii="宋体" w:hAnsi="宋体"/>
          <w:color w:val="0000FF"/>
          <w:sz w:val="24"/>
        </w:rPr>
        <w:t>片石</w:t>
      </w:r>
      <w:r>
        <w:rPr>
          <w:rFonts w:hint="eastAsia" w:ascii="宋体" w:hAnsi="宋体"/>
          <w:color w:val="0000FF"/>
          <w:spacing w:val="4"/>
          <w:sz w:val="24"/>
        </w:rPr>
        <w:t>采用</w:t>
      </w:r>
      <w:r>
        <w:rPr>
          <w:rFonts w:hint="eastAsia" w:ascii="宋体" w:hAnsi="宋体"/>
          <w:color w:val="0000FF"/>
          <w:sz w:val="24"/>
          <w:lang w:val="en-US" w:eastAsia="zh-CN"/>
        </w:rPr>
        <w:t>欧力</w:t>
      </w:r>
      <w:r>
        <w:rPr>
          <w:rFonts w:hint="eastAsia" w:ascii="宋体" w:hAnsi="宋体"/>
          <w:color w:val="0000FF"/>
          <w:sz w:val="24"/>
        </w:rPr>
        <w:t>石</w:t>
      </w:r>
      <w:r>
        <w:rPr>
          <w:rFonts w:hint="eastAsia" w:ascii="宋体" w:hAnsi="宋体"/>
          <w:color w:val="0000FF"/>
          <w:spacing w:val="4"/>
          <w:sz w:val="24"/>
        </w:rPr>
        <w:t>场：汽车运距</w:t>
      </w:r>
      <w:r>
        <w:rPr>
          <w:rFonts w:hint="eastAsia" w:ascii="宋体" w:hAnsi="宋体"/>
          <w:color w:val="0000FF"/>
          <w:spacing w:val="4"/>
          <w:sz w:val="24"/>
          <w:lang w:val="en-US" w:eastAsia="zh-CN"/>
        </w:rPr>
        <w:t>19</w:t>
      </w:r>
      <w:r>
        <w:rPr>
          <w:rFonts w:hint="eastAsia" w:ascii="宋体" w:hAnsi="宋体"/>
          <w:color w:val="0000FF"/>
          <w:spacing w:val="4"/>
          <w:sz w:val="24"/>
        </w:rPr>
        <w:t>公里。</w:t>
      </w:r>
    </w:p>
    <w:p>
      <w:pPr>
        <w:keepNext w:val="0"/>
        <w:keepLines w:val="0"/>
        <w:pageBreakBefore w:val="0"/>
        <w:widowControl w:val="0"/>
        <w:kinsoku/>
        <w:wordWrap/>
        <w:overflowPunct/>
        <w:topLinePunct w:val="0"/>
        <w:autoSpaceDE/>
        <w:autoSpaceDN/>
        <w:bidi w:val="0"/>
        <w:snapToGrid/>
        <w:spacing w:line="360"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7.4冬季、雨季施工所采取的措施</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1、本工程不宜在冬季期施工。</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2、雨季施工应综合规划、合理设置现场防排水系统，采取有效措施，及时引排地面水。</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3、对施工临时挤占的沟渠、河道应采取措施保证不降低原有的排水能力。</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4、在雨季前应将原有路面基层处理好，整平基层，并设纵横排水坡。</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5、低洼地段，应在雨季前将原地面处理好。</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6、结构物基坑在雨季开挖后未能及时施工时，应采取防浸泡措施，必要时雨后应对基坑地基承载力再次检测，以确定是否满足设计要求。</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8"/>
          <w:szCs w:val="28"/>
        </w:rPr>
      </w:pPr>
      <w:r>
        <w:rPr>
          <w:rFonts w:hint="eastAsia" w:ascii="宋体" w:hAnsi="宋体"/>
          <w:spacing w:val="4"/>
          <w:sz w:val="24"/>
        </w:rPr>
        <w:t>7、制定雨季施工安全预案，做好防洪抢险的准备工作</w:t>
      </w:r>
      <w:r>
        <w:rPr>
          <w:rFonts w:hint="eastAsia" w:ascii="宋体" w:hAnsi="宋体"/>
          <w:spacing w:val="4"/>
          <w:sz w:val="28"/>
          <w:szCs w:val="28"/>
        </w:rPr>
        <w:t xml:space="preserve">。   </w:t>
      </w:r>
    </w:p>
    <w:p>
      <w:pPr>
        <w:keepNext w:val="0"/>
        <w:keepLines w:val="0"/>
        <w:pageBreakBefore w:val="0"/>
        <w:widowControl w:val="0"/>
        <w:kinsoku/>
        <w:wordWrap/>
        <w:overflowPunct/>
        <w:topLinePunct w:val="0"/>
        <w:autoSpaceDE/>
        <w:autoSpaceDN/>
        <w:bidi w:val="0"/>
        <w:snapToGrid/>
        <w:spacing w:line="360"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7.5施工准备工作的意见</w:t>
      </w:r>
    </w:p>
    <w:p>
      <w:pPr>
        <w:keepNext w:val="0"/>
        <w:keepLines w:val="0"/>
        <w:pageBreakBefore w:val="0"/>
        <w:widowControl w:val="0"/>
        <w:kinsoku/>
        <w:wordWrap/>
        <w:overflowPunct/>
        <w:topLinePunct w:val="0"/>
        <w:autoSpaceDE/>
        <w:autoSpaceDN/>
        <w:bidi w:val="0"/>
        <w:snapToGrid/>
        <w:spacing w:line="360" w:lineRule="auto"/>
        <w:ind w:right="53" w:rightChars="25" w:firstLine="496" w:firstLineChars="200"/>
        <w:textAlignment w:val="auto"/>
        <w:outlineLvl w:val="0"/>
        <w:rPr>
          <w:rFonts w:ascii="宋体" w:hAnsi="宋体"/>
          <w:spacing w:val="4"/>
          <w:sz w:val="24"/>
        </w:rPr>
      </w:pPr>
      <w:r>
        <w:rPr>
          <w:rFonts w:hint="eastAsia" w:ascii="宋体" w:hAnsi="宋体"/>
          <w:spacing w:val="4"/>
          <w:sz w:val="24"/>
        </w:rPr>
        <w:t>1、施工时应设置必要的排水措施，保证不积水。</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b/>
          <w:spacing w:val="4"/>
          <w:sz w:val="28"/>
          <w:szCs w:val="28"/>
        </w:rPr>
      </w:pPr>
      <w:r>
        <w:rPr>
          <w:rFonts w:hint="eastAsia" w:ascii="宋体" w:hAnsi="宋体"/>
          <w:b/>
          <w:spacing w:val="4"/>
          <w:sz w:val="28"/>
          <w:szCs w:val="28"/>
        </w:rPr>
        <w:t>八.环境保护</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hint="eastAsia"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施工中根据《公路环境保护设计规范&gt;以及国家的有关环境保护法令、法规的要求，对可能造成环境影响的项目采取了必要、可行的工程措施，认真作好工程建设与环境保护之间的矛盾，切实抓好污染源的控制和治理工作，保护环境。</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hint="eastAsia" w:ascii="宋体" w:hAnsi="宋体"/>
          <w:spacing w:val="4"/>
          <w:sz w:val="24"/>
        </w:rPr>
      </w:pPr>
      <w:r>
        <w:rPr>
          <w:rFonts w:hint="eastAsia" w:ascii="宋体" w:hAnsi="宋体"/>
          <w:spacing w:val="4"/>
          <w:sz w:val="24"/>
        </w:rPr>
        <w:t>在施工场地位置的确定中充分考虑对周围水环境的影响，尽可能远离饮用水源，以免造成对水环境的影响。</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加强对机械设备的管理及建筑材料的遮挡，避免跑、冒、滴、漏及雨淋，防上对水环境的污染。</w:t>
      </w:r>
    </w:p>
    <w:p>
      <w:pPr>
        <w:keepNext w:val="0"/>
        <w:keepLines w:val="0"/>
        <w:pageBreakBefore w:val="0"/>
        <w:widowControl w:val="0"/>
        <w:kinsoku/>
        <w:wordWrap/>
        <w:overflowPunct/>
        <w:topLinePunct w:val="0"/>
        <w:autoSpaceDE/>
        <w:autoSpaceDN/>
        <w:bidi w:val="0"/>
        <w:adjustRightInd w:val="0"/>
        <w:snapToGrid/>
        <w:spacing w:line="360" w:lineRule="auto"/>
        <w:ind w:firstLine="578" w:firstLineChars="200"/>
        <w:textAlignment w:val="auto"/>
        <w:rPr>
          <w:rFonts w:ascii="宋体" w:hAnsi="宋体"/>
          <w:b/>
          <w:spacing w:val="4"/>
          <w:sz w:val="28"/>
          <w:szCs w:val="28"/>
        </w:rPr>
      </w:pPr>
      <w:r>
        <w:rPr>
          <w:rFonts w:hint="eastAsia" w:ascii="宋体" w:hAnsi="宋体"/>
          <w:b/>
          <w:spacing w:val="4"/>
          <w:sz w:val="28"/>
          <w:szCs w:val="28"/>
        </w:rPr>
        <w:t>8.1、环境噪声影响及措施</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1、设有大型机械的施工场地尽量设置在远离居民区的位置。</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2、在工期安排上对产生大的噪声的施工工序，尽量不安排夜间施工。</w:t>
      </w:r>
    </w:p>
    <w:p>
      <w:pPr>
        <w:keepNext w:val="0"/>
        <w:keepLines w:val="0"/>
        <w:pageBreakBefore w:val="0"/>
        <w:widowControl w:val="0"/>
        <w:kinsoku/>
        <w:wordWrap/>
        <w:overflowPunct/>
        <w:topLinePunct w:val="0"/>
        <w:autoSpaceDE/>
        <w:autoSpaceDN/>
        <w:bidi w:val="0"/>
        <w:adjustRightInd w:val="0"/>
        <w:snapToGrid/>
        <w:spacing w:line="360" w:lineRule="auto"/>
        <w:ind w:firstLine="578" w:firstLineChars="200"/>
        <w:textAlignment w:val="auto"/>
        <w:rPr>
          <w:rFonts w:ascii="宋体" w:hAnsi="宋体"/>
          <w:b/>
          <w:spacing w:val="4"/>
          <w:sz w:val="28"/>
          <w:szCs w:val="28"/>
        </w:rPr>
      </w:pPr>
      <w:r>
        <w:rPr>
          <w:rFonts w:hint="eastAsia" w:ascii="宋体" w:hAnsi="宋体"/>
          <w:b/>
          <w:spacing w:val="4"/>
          <w:sz w:val="28"/>
          <w:szCs w:val="28"/>
        </w:rPr>
        <w:t>8.2、环境空气影响及措施</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1、路面拌合场地设置在远离居民区处，采用封闭式拌合设备，并采取有效的消烟除尘措施，减少有害气体的排放。</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2、易于扬尘的建筑材料在运输和堆放过程中，采取可靠的遮盖措施。</w:t>
      </w:r>
    </w:p>
    <w:p>
      <w:pPr>
        <w:keepNext w:val="0"/>
        <w:keepLines w:val="0"/>
        <w:pageBreakBefore w:val="0"/>
        <w:widowControl w:val="0"/>
        <w:kinsoku/>
        <w:wordWrap/>
        <w:overflowPunct/>
        <w:topLinePunct w:val="0"/>
        <w:autoSpaceDE/>
        <w:autoSpaceDN/>
        <w:bidi w:val="0"/>
        <w:adjustRightInd w:val="0"/>
        <w:snapToGrid/>
        <w:spacing w:line="360" w:lineRule="auto"/>
        <w:ind w:firstLine="578" w:firstLineChars="200"/>
        <w:textAlignment w:val="auto"/>
        <w:rPr>
          <w:rFonts w:ascii="宋体" w:hAnsi="宋体"/>
          <w:b/>
          <w:spacing w:val="4"/>
          <w:sz w:val="28"/>
          <w:szCs w:val="28"/>
        </w:rPr>
      </w:pPr>
      <w:r>
        <w:rPr>
          <w:rFonts w:hint="eastAsia" w:ascii="宋体" w:hAnsi="宋体"/>
          <w:b/>
          <w:spacing w:val="4"/>
          <w:sz w:val="28"/>
          <w:szCs w:val="28"/>
        </w:rPr>
        <w:t>8.3、水环境的影响及措施</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1、在施工场地位置的确定中充分考虑对周围水环境的影响，尽可能远离饮用水源，以免造成对水环境的影响。</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ascii="宋体" w:hAnsi="宋体"/>
          <w:spacing w:val="4"/>
          <w:sz w:val="24"/>
        </w:rPr>
      </w:pPr>
      <w:r>
        <w:rPr>
          <w:rFonts w:hint="eastAsia" w:ascii="宋体" w:hAnsi="宋体"/>
          <w:spacing w:val="4"/>
          <w:sz w:val="24"/>
        </w:rPr>
        <w:t>2、加强对机械设备的管理及建筑材料的遮挡，避免跑、冒、滴、漏及雨淋，防止对水环境的污染。</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spacing w:val="4"/>
          <w:sz w:val="24"/>
        </w:rPr>
      </w:pPr>
      <w:r>
        <w:rPr>
          <w:rFonts w:hint="eastAsia" w:ascii="宋体" w:hAnsi="宋体"/>
          <w:spacing w:val="4"/>
          <w:sz w:val="24"/>
        </w:rPr>
        <w:t>上述未尽事宜严格按国家、交通部现行的标准、规范、办法实施。</w:t>
      </w:r>
    </w:p>
    <w:p>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b/>
          <w:spacing w:val="4"/>
          <w:sz w:val="28"/>
          <w:szCs w:val="28"/>
        </w:rPr>
      </w:pPr>
      <w:r>
        <w:rPr>
          <w:rFonts w:hint="eastAsia" w:ascii="宋体" w:hAnsi="宋体"/>
          <w:b/>
          <w:spacing w:val="4"/>
          <w:sz w:val="28"/>
          <w:szCs w:val="28"/>
        </w:rPr>
        <w:t>九.技术采用等情况</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hint="eastAsia" w:ascii="宋体" w:hAnsi="宋体"/>
          <w:spacing w:val="4"/>
          <w:sz w:val="24"/>
        </w:rPr>
      </w:pPr>
      <w:r>
        <w:rPr>
          <w:rFonts w:hint="eastAsia" w:ascii="宋体" w:hAnsi="宋体"/>
          <w:spacing w:val="4"/>
          <w:sz w:val="24"/>
        </w:rPr>
        <w:t>路线设计中，利用CAD、纬地等软件通过1：2000矢量地形图建立数字地面模型，在模型上进行路线的平、纵、横设计和优化，利用三维动态模拟行驶检验线形设计，提高了定线速度、精度，保证了线位的安全性、合理性和经济性。</w:t>
      </w:r>
    </w:p>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b/>
          <w:spacing w:val="4"/>
          <w:sz w:val="28"/>
          <w:szCs w:val="28"/>
          <w:lang w:val="en-US" w:eastAsia="zh-CN"/>
        </w:rPr>
      </w:pPr>
      <w:r>
        <w:rPr>
          <w:rFonts w:hint="eastAsia" w:ascii="宋体" w:hAnsi="宋体"/>
          <w:b/>
          <w:spacing w:val="4"/>
          <w:sz w:val="28"/>
          <w:szCs w:val="28"/>
          <w:lang w:val="en-US" w:eastAsia="zh-CN"/>
        </w:rPr>
        <w:t>十</w:t>
      </w:r>
      <w:r>
        <w:rPr>
          <w:rFonts w:hint="eastAsia" w:ascii="宋体" w:hAnsi="宋体"/>
          <w:b/>
          <w:spacing w:val="4"/>
          <w:sz w:val="28"/>
          <w:szCs w:val="28"/>
        </w:rPr>
        <w:t>.</w:t>
      </w:r>
      <w:r>
        <w:rPr>
          <w:rFonts w:hint="eastAsia" w:ascii="宋体" w:hAnsi="宋体"/>
          <w:b/>
          <w:spacing w:val="4"/>
          <w:sz w:val="28"/>
          <w:szCs w:val="28"/>
          <w:lang w:val="en-US" w:eastAsia="zh-CN"/>
        </w:rPr>
        <w:t>工程效益</w:t>
      </w:r>
    </w:p>
    <w:p>
      <w:pPr>
        <w:keepNext w:val="0"/>
        <w:keepLines w:val="0"/>
        <w:pageBreakBefore w:val="0"/>
        <w:widowControl w:val="0"/>
        <w:kinsoku/>
        <w:wordWrap/>
        <w:overflowPunct/>
        <w:topLinePunct w:val="0"/>
        <w:autoSpaceDE/>
        <w:autoSpaceDN/>
        <w:bidi w:val="0"/>
        <w:adjustRightInd w:val="0"/>
        <w:snapToGrid/>
        <w:spacing w:line="360" w:lineRule="auto"/>
        <w:ind w:firstLine="496" w:firstLineChars="200"/>
        <w:textAlignment w:val="auto"/>
        <w:rPr>
          <w:rFonts w:hint="eastAsia" w:ascii="宋体" w:hAnsi="宋体"/>
          <w:spacing w:val="4"/>
          <w:sz w:val="24"/>
        </w:rPr>
      </w:pPr>
      <w:r>
        <w:rPr>
          <w:rFonts w:hint="eastAsia" w:ascii="宋体" w:hAnsi="宋体"/>
          <w:spacing w:val="4"/>
          <w:sz w:val="24"/>
          <w:lang w:val="en-US" w:eastAsia="zh-CN"/>
        </w:rPr>
        <w:t>因工程沿线涉及耕地较多，该工程的实施可</w:t>
      </w:r>
      <w:r>
        <w:rPr>
          <w:rFonts w:hint="eastAsia" w:ascii="宋体" w:hAnsi="宋体"/>
          <w:spacing w:val="4"/>
          <w:sz w:val="24"/>
        </w:rPr>
        <w:t>改善居民生活、提高劳动生产率、提升</w:t>
      </w:r>
      <w:r>
        <w:rPr>
          <w:rFonts w:hint="eastAsia" w:ascii="宋体" w:hAnsi="宋体"/>
          <w:spacing w:val="4"/>
          <w:sz w:val="24"/>
          <w:lang w:val="en-US" w:eastAsia="zh-CN"/>
        </w:rPr>
        <w:t>周边居</w:t>
      </w:r>
      <w:r>
        <w:rPr>
          <w:rFonts w:hint="eastAsia" w:ascii="宋体" w:hAnsi="宋体"/>
          <w:spacing w:val="4"/>
          <w:sz w:val="24"/>
        </w:rPr>
        <w:t>民素质等。</w:t>
      </w:r>
      <w:r>
        <w:rPr>
          <w:rFonts w:hint="eastAsia" w:ascii="宋体" w:hAnsi="宋体"/>
          <w:spacing w:val="4"/>
          <w:sz w:val="24"/>
          <w:lang w:val="en-US" w:eastAsia="zh-CN"/>
        </w:rPr>
        <w:t>并对周边</w:t>
      </w:r>
      <w:r>
        <w:rPr>
          <w:rFonts w:hint="eastAsia" w:ascii="宋体" w:hAnsi="宋体"/>
          <w:spacing w:val="4"/>
          <w:sz w:val="24"/>
        </w:rPr>
        <w:t>环境的保护及改善</w:t>
      </w:r>
      <w:r>
        <w:rPr>
          <w:rFonts w:hint="eastAsia" w:ascii="宋体" w:hAnsi="宋体"/>
          <w:spacing w:val="4"/>
          <w:sz w:val="24"/>
          <w:lang w:val="en-US" w:eastAsia="zh-CN"/>
        </w:rPr>
        <w:t>起积极</w:t>
      </w:r>
      <w:r>
        <w:rPr>
          <w:rFonts w:hint="eastAsia" w:ascii="宋体" w:hAnsi="宋体"/>
          <w:spacing w:val="4"/>
          <w:sz w:val="24"/>
        </w:rPr>
        <w:t>作用，</w:t>
      </w:r>
      <w:r>
        <w:rPr>
          <w:rFonts w:hint="eastAsia" w:ascii="宋体" w:hAnsi="宋体"/>
          <w:spacing w:val="4"/>
          <w:sz w:val="24"/>
          <w:lang w:val="en-US" w:eastAsia="zh-CN"/>
        </w:rPr>
        <w:t>可</w:t>
      </w:r>
      <w:r>
        <w:rPr>
          <w:rFonts w:hint="eastAsia" w:ascii="宋体" w:hAnsi="宋体"/>
          <w:spacing w:val="4"/>
          <w:sz w:val="24"/>
        </w:rPr>
        <w:t>减少污染、改善气候。</w:t>
      </w:r>
    </w:p>
    <w:sectPr>
      <w:type w:val="continuous"/>
      <w:pgSz w:w="23814" w:h="16839" w:orient="landscape"/>
      <w:pgMar w:top="1418" w:right="1134" w:bottom="1418" w:left="1418" w:header="624" w:footer="851" w:gutter="0"/>
      <w:pgBorders>
        <w:top w:val="none" w:sz="0" w:space="0"/>
        <w:left w:val="none" w:sz="0" w:space="0"/>
        <w:bottom w:val="none" w:sz="0" w:space="0"/>
        <w:right w:val="none" w:sz="0" w:space="0"/>
      </w:pgBorders>
      <w:pgNumType w:chapStyle="1"/>
      <w:cols w:space="84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003</w:t>
    </w:r>
    <w:r>
      <w:rPr>
        <w:rFonts w:ascii="宋体" w:hAnsi="宋体"/>
        <w:b/>
        <w:sz w:val="32"/>
        <w:szCs w:val="32"/>
      </w:rPr>
      <w:fldChar w:fldCharType="end"/>
    </w:r>
  </w:p>
  <w:p>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gyOTMwNzdiYmVjNjVlMDBhNTJjNjc2NjA3ZDI5ZmYifQ=="/>
  </w:docVars>
  <w:rsids>
    <w:rsidRoot w:val="00172A27"/>
    <w:rsid w:val="00067CA8"/>
    <w:rsid w:val="00083D7F"/>
    <w:rsid w:val="000A4D83"/>
    <w:rsid w:val="000A7B38"/>
    <w:rsid w:val="000B4224"/>
    <w:rsid w:val="000C7AFC"/>
    <w:rsid w:val="000D4593"/>
    <w:rsid w:val="00105B7B"/>
    <w:rsid w:val="00121DF7"/>
    <w:rsid w:val="00155DAF"/>
    <w:rsid w:val="0017534A"/>
    <w:rsid w:val="00196048"/>
    <w:rsid w:val="001D59D8"/>
    <w:rsid w:val="001E479B"/>
    <w:rsid w:val="001E58A3"/>
    <w:rsid w:val="0022171E"/>
    <w:rsid w:val="00226E94"/>
    <w:rsid w:val="00242D64"/>
    <w:rsid w:val="002804CA"/>
    <w:rsid w:val="002A1678"/>
    <w:rsid w:val="002A24E3"/>
    <w:rsid w:val="002A7E47"/>
    <w:rsid w:val="002B4852"/>
    <w:rsid w:val="002D551F"/>
    <w:rsid w:val="002E4DEA"/>
    <w:rsid w:val="002F6718"/>
    <w:rsid w:val="00322A1F"/>
    <w:rsid w:val="00332D36"/>
    <w:rsid w:val="00343C6A"/>
    <w:rsid w:val="00355C78"/>
    <w:rsid w:val="00371EB9"/>
    <w:rsid w:val="00407782"/>
    <w:rsid w:val="00461233"/>
    <w:rsid w:val="00467A67"/>
    <w:rsid w:val="004C27C3"/>
    <w:rsid w:val="004D66DF"/>
    <w:rsid w:val="004E7948"/>
    <w:rsid w:val="004F7F45"/>
    <w:rsid w:val="005131DD"/>
    <w:rsid w:val="00565B1B"/>
    <w:rsid w:val="0057148D"/>
    <w:rsid w:val="005865D6"/>
    <w:rsid w:val="0059074F"/>
    <w:rsid w:val="005B26A8"/>
    <w:rsid w:val="005D1B85"/>
    <w:rsid w:val="005E360C"/>
    <w:rsid w:val="005F1535"/>
    <w:rsid w:val="005F47E3"/>
    <w:rsid w:val="00616815"/>
    <w:rsid w:val="006517DF"/>
    <w:rsid w:val="006B5B20"/>
    <w:rsid w:val="006C08F4"/>
    <w:rsid w:val="006C31F9"/>
    <w:rsid w:val="006D559D"/>
    <w:rsid w:val="006E05AA"/>
    <w:rsid w:val="006E3804"/>
    <w:rsid w:val="00721253"/>
    <w:rsid w:val="00771F27"/>
    <w:rsid w:val="007B7FAC"/>
    <w:rsid w:val="007D053F"/>
    <w:rsid w:val="007E4D47"/>
    <w:rsid w:val="008C36EE"/>
    <w:rsid w:val="008F7858"/>
    <w:rsid w:val="00951679"/>
    <w:rsid w:val="009770B5"/>
    <w:rsid w:val="00985641"/>
    <w:rsid w:val="00995F5C"/>
    <w:rsid w:val="009E7091"/>
    <w:rsid w:val="00A07F9C"/>
    <w:rsid w:val="00A430D9"/>
    <w:rsid w:val="00A64A82"/>
    <w:rsid w:val="00A774C2"/>
    <w:rsid w:val="00A873C1"/>
    <w:rsid w:val="00B64888"/>
    <w:rsid w:val="00BA7E1A"/>
    <w:rsid w:val="00BB0BCD"/>
    <w:rsid w:val="00BF03D4"/>
    <w:rsid w:val="00C01912"/>
    <w:rsid w:val="00C31551"/>
    <w:rsid w:val="00C87253"/>
    <w:rsid w:val="00CA4340"/>
    <w:rsid w:val="00D45EE3"/>
    <w:rsid w:val="00D66FFF"/>
    <w:rsid w:val="00D70EC5"/>
    <w:rsid w:val="00DA5496"/>
    <w:rsid w:val="00DC07BD"/>
    <w:rsid w:val="00DE4A11"/>
    <w:rsid w:val="00E206BE"/>
    <w:rsid w:val="00E7743B"/>
    <w:rsid w:val="00EA1099"/>
    <w:rsid w:val="00EC7085"/>
    <w:rsid w:val="00ED68AA"/>
    <w:rsid w:val="00ED7C5E"/>
    <w:rsid w:val="00EE62C4"/>
    <w:rsid w:val="00EF7423"/>
    <w:rsid w:val="00F060C6"/>
    <w:rsid w:val="00F1321E"/>
    <w:rsid w:val="00F64875"/>
    <w:rsid w:val="00F91A39"/>
    <w:rsid w:val="00F94343"/>
    <w:rsid w:val="00FB5D54"/>
    <w:rsid w:val="00FD4FFB"/>
    <w:rsid w:val="00FF1BC0"/>
    <w:rsid w:val="020D0A2A"/>
    <w:rsid w:val="029C0351"/>
    <w:rsid w:val="05F2196D"/>
    <w:rsid w:val="06AF1416"/>
    <w:rsid w:val="06D137CC"/>
    <w:rsid w:val="08836489"/>
    <w:rsid w:val="0AE14803"/>
    <w:rsid w:val="12D957F2"/>
    <w:rsid w:val="15931EFF"/>
    <w:rsid w:val="175C2FFC"/>
    <w:rsid w:val="17BD719C"/>
    <w:rsid w:val="19AD5027"/>
    <w:rsid w:val="1AF6692C"/>
    <w:rsid w:val="1D0C7904"/>
    <w:rsid w:val="1DB073DC"/>
    <w:rsid w:val="24F823C9"/>
    <w:rsid w:val="25A678E4"/>
    <w:rsid w:val="27E26EFD"/>
    <w:rsid w:val="29EB0F2A"/>
    <w:rsid w:val="2A0E7C36"/>
    <w:rsid w:val="2BF15142"/>
    <w:rsid w:val="2CFB492E"/>
    <w:rsid w:val="2F186CE7"/>
    <w:rsid w:val="30E21FB6"/>
    <w:rsid w:val="33BE12AB"/>
    <w:rsid w:val="346F2C06"/>
    <w:rsid w:val="378E4F6A"/>
    <w:rsid w:val="3FAC0914"/>
    <w:rsid w:val="3FE54DF3"/>
    <w:rsid w:val="42A1250C"/>
    <w:rsid w:val="44730A45"/>
    <w:rsid w:val="451B68E5"/>
    <w:rsid w:val="45432876"/>
    <w:rsid w:val="45D8079C"/>
    <w:rsid w:val="46636CBE"/>
    <w:rsid w:val="480E3A52"/>
    <w:rsid w:val="48840EF2"/>
    <w:rsid w:val="494C36EA"/>
    <w:rsid w:val="4D662DCC"/>
    <w:rsid w:val="4EDB740D"/>
    <w:rsid w:val="4F5B2D37"/>
    <w:rsid w:val="51E03FE9"/>
    <w:rsid w:val="52EA418F"/>
    <w:rsid w:val="53981F68"/>
    <w:rsid w:val="54E8385D"/>
    <w:rsid w:val="55690762"/>
    <w:rsid w:val="55AD7BC2"/>
    <w:rsid w:val="58C56169"/>
    <w:rsid w:val="59062108"/>
    <w:rsid w:val="59C76468"/>
    <w:rsid w:val="5A5F028E"/>
    <w:rsid w:val="5AFE58FF"/>
    <w:rsid w:val="62FD6148"/>
    <w:rsid w:val="63111CAE"/>
    <w:rsid w:val="637F63CD"/>
    <w:rsid w:val="65461441"/>
    <w:rsid w:val="70D34499"/>
    <w:rsid w:val="72A04573"/>
    <w:rsid w:val="72B01DF3"/>
    <w:rsid w:val="761B5FF6"/>
    <w:rsid w:val="764A4B78"/>
    <w:rsid w:val="77104602"/>
    <w:rsid w:val="7C4463B1"/>
    <w:rsid w:val="7D4A1F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0"/>
    <w:semiHidden/>
    <w:unhideWhenUsed/>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Char"/>
    <w:basedOn w:val="8"/>
    <w:semiHidden/>
    <w:qFormat/>
    <w:uiPriority w:val="99"/>
    <w:rPr>
      <w:rFonts w:ascii="宋体" w:hAnsi="Courier New" w:eastAsia="宋体" w:cs="Courier New"/>
      <w:szCs w:val="21"/>
    </w:rPr>
  </w:style>
  <w:style w:type="character" w:customStyle="1" w:styleId="10">
    <w:name w:val="纯文本 字符"/>
    <w:basedOn w:val="8"/>
    <w:link w:val="3"/>
    <w:semiHidden/>
    <w:qFormat/>
    <w:locked/>
    <w:uiPriority w:val="0"/>
    <w:rPr>
      <w:rFonts w:ascii="宋体" w:hAnsi="Courier New" w:eastAsia="宋体" w:cs="Courier New"/>
      <w:szCs w:val="21"/>
    </w:rPr>
  </w:style>
  <w:style w:type="character" w:customStyle="1" w:styleId="11">
    <w:name w:val="页眉 字符"/>
    <w:basedOn w:val="8"/>
    <w:link w:val="5"/>
    <w:qFormat/>
    <w:uiPriority w:val="99"/>
    <w:rPr>
      <w:rFonts w:ascii="Times New Roman" w:hAnsi="Times New Roman" w:eastAsia="宋体" w:cs="Times New Roman"/>
      <w:sz w:val="18"/>
      <w:szCs w:val="18"/>
    </w:rPr>
  </w:style>
  <w:style w:type="character" w:customStyle="1" w:styleId="12">
    <w:name w:val="页脚 字符"/>
    <w:basedOn w:val="8"/>
    <w:link w:val="4"/>
    <w:qFormat/>
    <w:uiPriority w:val="99"/>
    <w:rPr>
      <w:rFonts w:ascii="Times New Roman" w:hAnsi="Times New Roman" w:eastAsia="宋体" w:cs="Times New Roman"/>
      <w:sz w:val="18"/>
      <w:szCs w:val="18"/>
    </w:rPr>
  </w:style>
  <w:style w:type="character" w:customStyle="1" w:styleId="13">
    <w:name w:val="标题 3 字符"/>
    <w:basedOn w:val="8"/>
    <w:link w:val="2"/>
    <w:qFormat/>
    <w:uiPriority w:val="0"/>
    <w:rPr>
      <w:rFonts w:ascii="宋体" w:hAnsi="Times New Roman" w:eastAsia="宋体" w:cs="Times New Roman"/>
      <w:b/>
      <w:bCs/>
      <w:sz w:val="28"/>
      <w:szCs w:val="2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E815D-1D4A-44A3-B8E2-D5DF413A3B68}">
  <ds:schemaRefs/>
</ds:datastoreItem>
</file>

<file path=docProps/app.xml><?xml version="1.0" encoding="utf-8"?>
<Properties xmlns="http://schemas.openxmlformats.org/officeDocument/2006/extended-properties" xmlns:vt="http://schemas.openxmlformats.org/officeDocument/2006/docPropsVTypes">
  <Template>Normal</Template>
  <Pages>7</Pages>
  <Words>8800</Words>
  <Characters>11009</Characters>
  <Lines>86</Lines>
  <Paragraphs>24</Paragraphs>
  <TotalTime>3</TotalTime>
  <ScaleCrop>false</ScaleCrop>
  <LinksUpToDate>false</LinksUpToDate>
  <CharactersWithSpaces>11262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Administrator</cp:lastModifiedBy>
  <cp:lastPrinted>2022-08-03T03:11:00Z</cp:lastPrinted>
  <dcterms:modified xsi:type="dcterms:W3CDTF">2014-04-28T05:21:54Z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7324AE7B86DC4D8C957ED88F6933A7AC</vt:lpwstr>
  </property>
</Properties>
</file>